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仿宋_GB2312" w:cs="Times New Roman"/>
          <w:color w:val="auto"/>
          <w:sz w:val="36"/>
          <w:szCs w:val="36"/>
        </w:rPr>
      </w:pPr>
    </w:p>
    <w:p>
      <w:pPr>
        <w:rPr>
          <w:rFonts w:hint="default" w:ascii="Times New Roman" w:hAnsi="Times New Roman" w:eastAsia="仿宋_GB2312" w:cs="Times New Roman"/>
          <w:color w:val="auto"/>
          <w:sz w:val="36"/>
          <w:szCs w:val="36"/>
        </w:rPr>
      </w:pPr>
    </w:p>
    <w:p>
      <w:pPr>
        <w:rPr>
          <w:rFonts w:hint="default" w:ascii="Times New Roman" w:hAnsi="Times New Roman" w:eastAsia="仿宋_GB2312" w:cs="Times New Roman"/>
          <w:color w:val="auto"/>
          <w:sz w:val="36"/>
          <w:szCs w:val="36"/>
        </w:rPr>
      </w:pPr>
    </w:p>
    <w:p>
      <w:pPr>
        <w:rPr>
          <w:rFonts w:hint="default" w:ascii="Times New Roman" w:hAnsi="Times New Roman" w:eastAsia="仿宋_GB2312" w:cs="Times New Roman"/>
          <w:color w:val="auto"/>
          <w:sz w:val="36"/>
          <w:szCs w:val="36"/>
        </w:rPr>
      </w:pPr>
    </w:p>
    <w:p>
      <w:pPr>
        <w:rPr>
          <w:rFonts w:hint="default" w:ascii="Times New Roman" w:hAnsi="Times New Roman" w:eastAsia="仿宋_GB2312" w:cs="Times New Roman"/>
          <w:color w:val="auto"/>
          <w:sz w:val="36"/>
          <w:szCs w:val="36"/>
        </w:rPr>
      </w:pPr>
    </w:p>
    <w:p>
      <w:pPr>
        <w:adjustRightInd w:val="0"/>
        <w:snapToGrid w:val="0"/>
        <w:jc w:val="center"/>
        <w:outlineLvl w:val="0"/>
        <w:rPr>
          <w:rFonts w:hint="default" w:ascii="Times New Roman" w:hAnsi="Times New Roman" w:eastAsia="方正小标宋_GBK" w:cs="Times New Roman"/>
          <w:bCs/>
          <w:color w:val="auto"/>
          <w:sz w:val="72"/>
          <w:szCs w:val="72"/>
        </w:rPr>
      </w:pPr>
      <w:bookmarkStart w:id="0" w:name="_Toc21359"/>
      <w:bookmarkStart w:id="1" w:name="_Toc8870"/>
      <w:bookmarkStart w:id="2" w:name="_Toc31034"/>
      <w:bookmarkStart w:id="3" w:name="_Toc9272"/>
      <w:bookmarkStart w:id="4" w:name="_Toc142"/>
      <w:bookmarkStart w:id="5" w:name="_Toc6848"/>
      <w:bookmarkStart w:id="6" w:name="_Toc30575"/>
      <w:bookmarkStart w:id="7" w:name="_Toc31887"/>
      <w:bookmarkStart w:id="8" w:name="_Toc21136"/>
      <w:bookmarkStart w:id="9" w:name="_Toc2904"/>
      <w:bookmarkStart w:id="10" w:name="_Toc20068"/>
      <w:bookmarkStart w:id="11" w:name="_Toc27019"/>
      <w:r>
        <w:rPr>
          <w:rFonts w:hint="default" w:ascii="Times New Roman" w:hAnsi="Times New Roman" w:eastAsia="方正小标宋_GBK" w:cs="Times New Roman"/>
          <w:bCs/>
          <w:color w:val="auto"/>
          <w:sz w:val="72"/>
          <w:szCs w:val="72"/>
        </w:rPr>
        <w:t>建设项目环境影响报告表</w:t>
      </w:r>
      <w:bookmarkEnd w:id="0"/>
      <w:bookmarkEnd w:id="1"/>
      <w:bookmarkEnd w:id="2"/>
      <w:bookmarkEnd w:id="3"/>
      <w:bookmarkEnd w:id="4"/>
      <w:bookmarkEnd w:id="5"/>
      <w:bookmarkEnd w:id="6"/>
      <w:bookmarkEnd w:id="7"/>
      <w:bookmarkEnd w:id="8"/>
      <w:bookmarkEnd w:id="9"/>
      <w:bookmarkEnd w:id="10"/>
      <w:bookmarkEnd w:id="11"/>
    </w:p>
    <w:p>
      <w:pPr>
        <w:adjustRightInd w:val="0"/>
        <w:snapToGrid w:val="0"/>
        <w:spacing w:before="192" w:beforeLines="80"/>
        <w:jc w:val="center"/>
        <w:rPr>
          <w:rFonts w:hint="default" w:ascii="Times New Roman" w:hAnsi="Times New Roman" w:eastAsia="楷体_GB2312" w:cs="Times New Roman"/>
          <w:bCs/>
          <w:color w:val="auto"/>
          <w:sz w:val="48"/>
          <w:szCs w:val="48"/>
        </w:rPr>
      </w:pPr>
      <w:r>
        <w:rPr>
          <w:rFonts w:hint="default" w:ascii="Times New Roman" w:hAnsi="Times New Roman" w:eastAsia="楷体_GB2312" w:cs="Times New Roman"/>
          <w:bCs/>
          <w:color w:val="auto"/>
          <w:sz w:val="48"/>
          <w:szCs w:val="48"/>
        </w:rPr>
        <w:t>（污染影响类）</w:t>
      </w:r>
    </w:p>
    <w:p>
      <w:pPr>
        <w:bidi w:val="0"/>
        <w:rPr>
          <w:rFonts w:hint="default" w:ascii="Times New Roman" w:hAnsi="Times New Roman" w:cs="Times New Roman"/>
          <w:color w:val="auto"/>
        </w:rPr>
      </w:pPr>
    </w:p>
    <w:p>
      <w:pPr>
        <w:jc w:val="center"/>
        <w:rPr>
          <w:rFonts w:hint="default" w:ascii="Times New Roman" w:hAnsi="Times New Roman" w:eastAsia="仿宋" w:cs="Times New Roman"/>
          <w:color w:val="auto"/>
          <w:sz w:val="52"/>
          <w:szCs w:val="52"/>
        </w:rPr>
      </w:pPr>
    </w:p>
    <w:p>
      <w:pPr>
        <w:ind w:firstLine="1040"/>
        <w:rPr>
          <w:rFonts w:hint="default" w:ascii="Times New Roman" w:hAnsi="Times New Roman" w:eastAsia="仿宋" w:cs="Times New Roman"/>
          <w:color w:val="auto"/>
          <w:sz w:val="44"/>
          <w:szCs w:val="44"/>
        </w:rPr>
      </w:pPr>
    </w:p>
    <w:p>
      <w:pPr>
        <w:ind w:firstLine="1040"/>
        <w:rPr>
          <w:rFonts w:hint="default" w:ascii="Times New Roman" w:hAnsi="Times New Roman" w:eastAsia="仿宋" w:cs="Times New Roman"/>
          <w:color w:val="auto"/>
          <w:sz w:val="44"/>
          <w:szCs w:val="44"/>
        </w:rPr>
      </w:pPr>
    </w:p>
    <w:p>
      <w:pPr>
        <w:ind w:firstLine="1040"/>
        <w:rPr>
          <w:rFonts w:hint="default" w:ascii="Times New Roman" w:hAnsi="Times New Roman" w:eastAsia="仿宋" w:cs="Times New Roman"/>
          <w:color w:val="auto"/>
          <w:sz w:val="44"/>
          <w:szCs w:val="44"/>
        </w:rPr>
      </w:pPr>
    </w:p>
    <w:p>
      <w:pPr>
        <w:ind w:firstLine="1040"/>
        <w:rPr>
          <w:rFonts w:hint="default" w:ascii="Times New Roman" w:hAnsi="Times New Roman" w:eastAsia="仿宋" w:cs="Times New Roman"/>
          <w:color w:val="auto"/>
          <w:sz w:val="44"/>
          <w:szCs w:val="44"/>
        </w:rPr>
      </w:pP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jc w:val="both"/>
        <w:textAlignment w:val="auto"/>
        <w:rPr>
          <w:rFonts w:hint="eastAsia" w:cs="Times New Roman"/>
          <w:color w:val="auto"/>
          <w:sz w:val="32"/>
          <w:szCs w:val="32"/>
          <w:u w:val="single"/>
          <w:lang w:eastAsia="zh-CN"/>
        </w:rPr>
      </w:pPr>
      <w:r>
        <w:rPr>
          <w:rFonts w:hint="default" w:ascii="Times New Roman" w:hAnsi="Times New Roman" w:eastAsia="宋体" w:cs="Times New Roman"/>
          <w:color w:val="auto"/>
          <w:sz w:val="32"/>
          <w:szCs w:val="32"/>
        </w:rPr>
        <w:t>项目名称：</w:t>
      </w:r>
      <w:r>
        <w:rPr>
          <w:rFonts w:hint="eastAsia" w:cs="Times New Roman"/>
          <w:color w:val="auto"/>
          <w:sz w:val="32"/>
          <w:szCs w:val="32"/>
          <w:u w:val="single"/>
          <w:lang w:eastAsia="zh-CN"/>
        </w:rPr>
        <w:t>嘉荫县福财玉米种植专业合作社粮食烘干仓储</w:t>
      </w:r>
    </w:p>
    <w:p>
      <w:pPr>
        <w:keepNext w:val="0"/>
        <w:keepLines w:val="0"/>
        <w:pageBreakBefore w:val="0"/>
        <w:widowControl w:val="0"/>
        <w:kinsoku/>
        <w:wordWrap/>
        <w:overflowPunct/>
        <w:topLinePunct w:val="0"/>
        <w:autoSpaceDE/>
        <w:autoSpaceDN/>
        <w:bidi w:val="0"/>
        <w:adjustRightInd w:val="0"/>
        <w:snapToGrid w:val="0"/>
        <w:spacing w:line="360" w:lineRule="auto"/>
        <w:ind w:firstLine="2560" w:firstLineChars="800"/>
        <w:jc w:val="both"/>
        <w:textAlignment w:val="auto"/>
        <w:rPr>
          <w:rFonts w:hint="default" w:ascii="Times New Roman" w:hAnsi="Times New Roman" w:eastAsia="宋体" w:cs="Times New Roman"/>
          <w:color w:val="auto"/>
          <w:w w:val="90"/>
          <w:sz w:val="32"/>
          <w:szCs w:val="32"/>
          <w:u w:val="single"/>
          <w:lang w:val="en-US" w:eastAsia="zh-CN"/>
        </w:rPr>
      </w:pPr>
      <w:r>
        <w:rPr>
          <w:rFonts w:hint="eastAsia" w:cs="Times New Roman"/>
          <w:color w:val="auto"/>
          <w:sz w:val="32"/>
          <w:szCs w:val="32"/>
          <w:u w:val="single"/>
          <w:lang w:eastAsia="zh-CN"/>
        </w:rPr>
        <w:t>设施建设项目</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jc w:val="both"/>
        <w:textAlignment w:val="auto"/>
        <w:rPr>
          <w:rFonts w:hint="default" w:ascii="Times New Roman" w:hAnsi="Times New Roman" w:eastAsia="宋体" w:cs="Times New Roman"/>
          <w:color w:val="auto"/>
          <w:sz w:val="32"/>
          <w:szCs w:val="32"/>
          <w:u w:val="single"/>
          <w:lang w:eastAsia="zh-CN"/>
        </w:rPr>
      </w:pPr>
      <w:r>
        <w:rPr>
          <w:rFonts w:hint="default" w:ascii="Times New Roman" w:hAnsi="Times New Roman" w:eastAsia="宋体" w:cs="Times New Roman"/>
          <w:color w:val="auto"/>
          <w:sz w:val="32"/>
          <w:szCs w:val="32"/>
        </w:rPr>
        <w:t>建设单位：</w:t>
      </w:r>
      <w:r>
        <w:rPr>
          <w:rFonts w:hint="eastAsia" w:cs="Times New Roman"/>
          <w:color w:val="auto"/>
          <w:sz w:val="32"/>
          <w:szCs w:val="32"/>
          <w:u w:val="single"/>
          <w:lang w:eastAsia="zh-CN"/>
        </w:rPr>
        <w:t>嘉荫县福财玉米种植专业合作社</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32"/>
          <w:szCs w:val="32"/>
          <w:u w:val="single"/>
        </w:rPr>
      </w:pPr>
      <w:r>
        <w:rPr>
          <w:rFonts w:hint="default" w:ascii="Times New Roman" w:hAnsi="Times New Roman" w:eastAsia="宋体" w:cs="Times New Roman"/>
          <w:color w:val="auto"/>
          <w:sz w:val="32"/>
          <w:szCs w:val="32"/>
        </w:rPr>
        <w:t>编制日期：</w:t>
      </w:r>
      <w:r>
        <w:rPr>
          <w:rFonts w:hint="default" w:ascii="Times New Roman" w:hAnsi="Times New Roman" w:eastAsia="宋体" w:cs="Times New Roman"/>
          <w:color w:val="auto"/>
          <w:sz w:val="32"/>
          <w:szCs w:val="32"/>
          <w:u w:val="single"/>
        </w:rPr>
        <w:t>202</w:t>
      </w:r>
      <w:r>
        <w:rPr>
          <w:rFonts w:hint="eastAsia" w:cs="Times New Roman"/>
          <w:color w:val="auto"/>
          <w:sz w:val="32"/>
          <w:szCs w:val="32"/>
          <w:u w:val="single"/>
          <w:lang w:val="en-US" w:eastAsia="zh-CN"/>
        </w:rPr>
        <w:t>6</w:t>
      </w:r>
      <w:r>
        <w:rPr>
          <w:rFonts w:hint="default" w:ascii="Times New Roman" w:hAnsi="Times New Roman" w:eastAsia="宋体" w:cs="Times New Roman"/>
          <w:color w:val="auto"/>
          <w:sz w:val="32"/>
          <w:szCs w:val="32"/>
          <w:u w:val="single"/>
        </w:rPr>
        <w:t>年</w:t>
      </w:r>
      <w:r>
        <w:rPr>
          <w:rFonts w:hint="eastAsia" w:cs="Times New Roman"/>
          <w:color w:val="auto"/>
          <w:sz w:val="32"/>
          <w:szCs w:val="32"/>
          <w:u w:val="single"/>
          <w:lang w:val="en-US" w:eastAsia="zh-CN"/>
        </w:rPr>
        <w:t>7</w:t>
      </w:r>
      <w:r>
        <w:rPr>
          <w:rFonts w:hint="default" w:ascii="Times New Roman" w:hAnsi="Times New Roman" w:eastAsia="宋体" w:cs="Times New Roman"/>
          <w:color w:val="auto"/>
          <w:sz w:val="32"/>
          <w:szCs w:val="32"/>
          <w:u w:val="single"/>
        </w:rPr>
        <w:t>月</w:t>
      </w:r>
    </w:p>
    <w:p>
      <w:pPr>
        <w:adjustRightInd w:val="0"/>
        <w:snapToGrid w:val="0"/>
        <w:spacing w:line="288" w:lineRule="auto"/>
        <w:ind w:firstLine="1040"/>
        <w:rPr>
          <w:rFonts w:hint="default" w:ascii="Times New Roman" w:hAnsi="Times New Roman" w:eastAsia="仿宋_GB2312" w:cs="Times New Roman"/>
          <w:color w:val="auto"/>
          <w:sz w:val="36"/>
          <w:szCs w:val="36"/>
          <w:u w:val="single"/>
        </w:rPr>
      </w:pPr>
      <w:bookmarkStart w:id="12" w:name="_Hlk57884087"/>
    </w:p>
    <w:p>
      <w:pPr>
        <w:adjustRightInd w:val="0"/>
        <w:snapToGrid w:val="0"/>
        <w:spacing w:line="288" w:lineRule="auto"/>
        <w:ind w:firstLine="1040"/>
        <w:rPr>
          <w:rFonts w:hint="default" w:ascii="Times New Roman" w:hAnsi="Times New Roman" w:eastAsia="仿宋_GB2312" w:cs="Times New Roman"/>
          <w:color w:val="auto"/>
          <w:sz w:val="36"/>
          <w:szCs w:val="36"/>
        </w:rPr>
      </w:pPr>
    </w:p>
    <w:p>
      <w:pPr>
        <w:adjustRightInd w:val="0"/>
        <w:snapToGrid w:val="0"/>
        <w:spacing w:line="288" w:lineRule="auto"/>
        <w:ind w:firstLine="1040"/>
        <w:rPr>
          <w:rFonts w:hint="default" w:ascii="Times New Roman" w:hAnsi="Times New Roman" w:eastAsia="仿宋_GB2312" w:cs="Times New Roman"/>
          <w:color w:val="auto"/>
          <w:sz w:val="36"/>
          <w:szCs w:val="36"/>
        </w:rPr>
      </w:pPr>
    </w:p>
    <w:p>
      <w:pPr>
        <w:pStyle w:val="36"/>
        <w:rPr>
          <w:rFonts w:hint="default" w:ascii="Times New Roman" w:hAnsi="Times New Roman" w:eastAsia="仿宋_GB2312" w:cs="Times New Roman"/>
          <w:color w:val="auto"/>
          <w:sz w:val="36"/>
          <w:szCs w:val="36"/>
        </w:rPr>
      </w:pPr>
    </w:p>
    <w:p>
      <w:pPr>
        <w:rPr>
          <w:rFonts w:hint="default" w:ascii="Times New Roman" w:hAnsi="Times New Roman" w:cs="Times New Roman"/>
          <w:color w:val="auto"/>
        </w:rPr>
      </w:pPr>
    </w:p>
    <w:p>
      <w:pPr>
        <w:pStyle w:val="11"/>
        <w:rPr>
          <w:rFonts w:hint="default" w:ascii="Times New Roman" w:hAnsi="Times New Roman" w:cs="Times New Roman"/>
          <w:color w:val="auto"/>
        </w:rPr>
      </w:pPr>
    </w:p>
    <w:bookmarkEnd w:id="12"/>
    <w:p>
      <w:pPr>
        <w:adjustRightInd w:val="0"/>
        <w:snapToGrid w:val="0"/>
        <w:spacing w:line="288" w:lineRule="auto"/>
        <w:jc w:val="center"/>
        <w:rPr>
          <w:rFonts w:hint="default" w:ascii="Times New Roman" w:hAnsi="Times New Roman" w:eastAsia="楷体_GB2312" w:cs="Times New Roman"/>
          <w:color w:val="auto"/>
          <w:sz w:val="36"/>
          <w:szCs w:val="36"/>
          <w:lang w:val="en-US" w:eastAsia="zh-CN"/>
        </w:rPr>
      </w:pPr>
      <w:r>
        <w:rPr>
          <w:rFonts w:hint="default" w:ascii="Times New Roman" w:hAnsi="Times New Roman" w:cs="Times New Roman"/>
          <w:color w:val="auto"/>
          <w:sz w:val="32"/>
          <w:szCs w:val="32"/>
        </w:rPr>
        <w:t>中华人民共和国生态环境部制</w:t>
      </w:r>
    </w:p>
    <w:p>
      <w:pPr>
        <w:jc w:val="center"/>
        <w:rPr>
          <w:rFonts w:hint="eastAsia" w:ascii="Times New Roman" w:hAnsi="Times New Roman" w:eastAsia="宋体" w:cs="Times New Roman"/>
          <w:color w:val="auto"/>
          <w:lang w:eastAsia="zh-CN"/>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pPr>
        <w:pStyle w:val="38"/>
        <w:rPr>
          <w:rFonts w:hint="eastAsia" w:eastAsia="宋体"/>
          <w:color w:val="auto"/>
          <w:lang w:eastAsia="zh-CN"/>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pPr>
        <w:spacing w:before="0" w:beforeLines="0" w:after="0" w:afterLines="0" w:line="240" w:lineRule="auto"/>
        <w:ind w:left="0" w:leftChars="0" w:right="0" w:rightChars="0" w:firstLine="0" w:firstLineChars="0"/>
        <w:jc w:val="center"/>
        <w:rPr>
          <w:rFonts w:hint="default" w:ascii="Times New Roman" w:hAnsi="Times New Roman" w:cs="Times New Roman"/>
          <w:b/>
          <w:bCs/>
          <w:color w:val="auto"/>
          <w:sz w:val="44"/>
          <w:szCs w:val="44"/>
        </w:rPr>
      </w:pPr>
      <w:r>
        <w:rPr>
          <w:rFonts w:hint="default" w:ascii="Times New Roman" w:hAnsi="Times New Roman" w:eastAsia="宋体" w:cs="Times New Roman"/>
          <w:b/>
          <w:bCs/>
          <w:color w:val="auto"/>
          <w:sz w:val="44"/>
          <w:szCs w:val="44"/>
        </w:rPr>
        <w:t>目</w:t>
      </w:r>
      <w:r>
        <w:rPr>
          <w:rFonts w:hint="eastAsia" w:cs="Times New Roman"/>
          <w:b/>
          <w:bCs/>
          <w:color w:val="auto"/>
          <w:sz w:val="44"/>
          <w:szCs w:val="44"/>
          <w:lang w:val="en-US" w:eastAsia="zh-CN"/>
        </w:rPr>
        <w:t xml:space="preserve"> </w:t>
      </w:r>
      <w:r>
        <w:rPr>
          <w:rFonts w:hint="default" w:ascii="Times New Roman" w:hAnsi="Times New Roman" w:eastAsia="宋体" w:cs="Times New Roman"/>
          <w:b/>
          <w:bCs/>
          <w:color w:val="auto"/>
          <w:sz w:val="44"/>
          <w:szCs w:val="44"/>
          <w:lang w:val="en-US" w:eastAsia="zh-CN"/>
        </w:rPr>
        <w:t xml:space="preserve"> </w:t>
      </w:r>
      <w:r>
        <w:rPr>
          <w:rFonts w:hint="default" w:ascii="Times New Roman" w:hAnsi="Times New Roman" w:eastAsia="宋体" w:cs="Times New Roman"/>
          <w:b/>
          <w:bCs/>
          <w:color w:val="auto"/>
          <w:sz w:val="44"/>
          <w:szCs w:val="44"/>
        </w:rPr>
        <w:t>录</w:t>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TOC \o "1-1" \h \u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 HYPERLINK \l _Toc25765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snapToGrid w:val="0"/>
          <w:color w:val="auto"/>
          <w:sz w:val="24"/>
          <w:szCs w:val="24"/>
        </w:rPr>
        <w:t>一、建设项目基本情况</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_Toc25765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 HYPERLINK \l _Toc31158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snapToGrid w:val="0"/>
          <w:color w:val="auto"/>
          <w:sz w:val="24"/>
          <w:szCs w:val="24"/>
        </w:rPr>
        <w:t>二、建设项目工程分析</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_Toc31158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12</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 HYPERLINK \l _Toc28470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snapToGrid w:val="0"/>
          <w:color w:val="auto"/>
          <w:sz w:val="24"/>
          <w:szCs w:val="24"/>
        </w:rPr>
        <w:t>三、区域环境质量现状、环境保护目标及评价标准</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_Toc28470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20</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 HYPERLINK \l _Toc2506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snapToGrid w:val="0"/>
          <w:color w:val="auto"/>
          <w:sz w:val="24"/>
          <w:szCs w:val="24"/>
        </w:rPr>
        <w:t>四、主要环境影响和保护措施</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_Toc2506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26</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 HYPERLINK \l _Toc19727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snapToGrid w:val="0"/>
          <w:color w:val="auto"/>
          <w:sz w:val="24"/>
          <w:szCs w:val="24"/>
        </w:rPr>
        <w:t>五、环境保护措施监督检查清单</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_Toc19727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40</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 HYPERLINK \l _Toc10988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snapToGrid w:val="0"/>
          <w:color w:val="auto"/>
          <w:sz w:val="24"/>
          <w:szCs w:val="24"/>
        </w:rPr>
        <w:t>六、结论</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_Toc10988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42</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 HYPERLINK \l _Toc29721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snapToGrid w:val="0"/>
          <w:color w:val="auto"/>
          <w:sz w:val="24"/>
          <w:szCs w:val="24"/>
        </w:rPr>
        <w:t>附表</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_Toc29721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43</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 HYPERLINK \l _Toc10746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color w:val="auto"/>
          <w:sz w:val="24"/>
          <w:szCs w:val="24"/>
        </w:rPr>
        <w:t>建设项目污染物排放量汇总表</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_Toc10746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43</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 HYPERLINK \l _Toc26382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snapToGrid w:val="0"/>
          <w:color w:val="auto"/>
          <w:sz w:val="24"/>
          <w:szCs w:val="24"/>
        </w:rPr>
        <w:t>附</w:t>
      </w:r>
      <w:r>
        <w:rPr>
          <w:rFonts w:hint="default" w:ascii="Times New Roman" w:hAnsi="Times New Roman" w:eastAsia="宋体" w:cs="Times New Roman"/>
          <w:snapToGrid w:val="0"/>
          <w:color w:val="auto"/>
          <w:sz w:val="24"/>
          <w:szCs w:val="24"/>
          <w:lang w:eastAsia="zh-CN"/>
        </w:rPr>
        <w:t>图</w:t>
      </w:r>
      <w:r>
        <w:rPr>
          <w:rFonts w:hint="default" w:ascii="Times New Roman" w:hAnsi="Times New Roman" w:eastAsia="宋体" w:cs="Times New Roman"/>
          <w:snapToGrid w:val="0"/>
          <w:color w:val="auto"/>
          <w:sz w:val="24"/>
          <w:szCs w:val="24"/>
          <w:lang w:val="en-US" w:eastAsia="zh-CN"/>
        </w:rPr>
        <w:t>1 本项目地理位置图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_Toc26382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44</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 HYPERLINK \l _Toc6874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snapToGrid w:val="0"/>
          <w:color w:val="auto"/>
          <w:sz w:val="24"/>
          <w:szCs w:val="24"/>
        </w:rPr>
        <w:t>附</w:t>
      </w:r>
      <w:r>
        <w:rPr>
          <w:rFonts w:hint="default" w:ascii="Times New Roman" w:hAnsi="Times New Roman" w:eastAsia="宋体" w:cs="Times New Roman"/>
          <w:snapToGrid w:val="0"/>
          <w:color w:val="auto"/>
          <w:sz w:val="24"/>
          <w:szCs w:val="24"/>
          <w:highlight w:val="none"/>
          <w:lang w:eastAsia="zh-CN"/>
        </w:rPr>
        <w:t>图</w:t>
      </w:r>
      <w:r>
        <w:rPr>
          <w:rFonts w:hint="default" w:ascii="Times New Roman" w:hAnsi="Times New Roman" w:eastAsia="宋体" w:cs="Times New Roman"/>
          <w:snapToGrid w:val="0"/>
          <w:color w:val="auto"/>
          <w:sz w:val="24"/>
          <w:szCs w:val="24"/>
          <w:highlight w:val="none"/>
          <w:lang w:val="en-US" w:eastAsia="zh-CN"/>
        </w:rPr>
        <w:t>2 厂区总平面布置图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_Toc6874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45</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 HYPERLINK \l _Toc26831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color w:val="auto"/>
          <w:sz w:val="24"/>
          <w:szCs w:val="24"/>
          <w:lang w:val="en-US" w:eastAsia="zh-CN"/>
        </w:rPr>
        <w:t>附件1 营业执照</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_Toc26831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46</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 HYPERLINK \l _Toc918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bCs/>
          <w:color w:val="auto"/>
          <w:kern w:val="44"/>
          <w:sz w:val="24"/>
          <w:szCs w:val="24"/>
          <w:lang w:val="en-US" w:eastAsia="zh-CN" w:bidi="ar-SA"/>
        </w:rPr>
        <w:t>附件2 土地相关文件</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_Toc918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47</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 HYPERLINK \l _Toc9020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color w:val="auto"/>
          <w:sz w:val="24"/>
          <w:szCs w:val="24"/>
          <w:lang w:val="en-US" w:eastAsia="zh-CN"/>
        </w:rPr>
        <w:t>附件3 燃料分析单</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_Toc9020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51</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 HYPERLINK \l _Toc14983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color w:val="auto"/>
          <w:sz w:val="24"/>
          <w:szCs w:val="24"/>
          <w:lang w:val="en-US" w:eastAsia="zh-CN"/>
        </w:rPr>
        <w:t>附件4 监测报告</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_Toc14983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52</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 HYPERLINK \l _Toc32608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color w:val="auto"/>
          <w:sz w:val="24"/>
          <w:szCs w:val="24"/>
          <w:lang w:val="en-US" w:eastAsia="zh-CN"/>
        </w:rPr>
        <w:t>附件</w:t>
      </w:r>
      <w:r>
        <w:rPr>
          <w:rFonts w:hint="default" w:ascii="Times New Roman" w:hAnsi="Times New Roman" w:eastAsia="宋体" w:cs="Times New Roman"/>
          <w:color w:val="auto"/>
          <w:sz w:val="24"/>
          <w:szCs w:val="24"/>
          <w:highlight w:val="none"/>
          <w:lang w:val="en-US" w:eastAsia="zh-CN"/>
        </w:rPr>
        <w:t>5 核定总量计算说明</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_Toc32608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56</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 HYPERLINK \l _Toc2135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color w:val="auto"/>
          <w:sz w:val="24"/>
          <w:szCs w:val="24"/>
          <w:lang w:val="en-US" w:eastAsia="zh-CN"/>
        </w:rPr>
        <w:t>附件</w:t>
      </w:r>
      <w:r>
        <w:rPr>
          <w:rFonts w:hint="default" w:ascii="Times New Roman" w:hAnsi="Times New Roman" w:eastAsia="宋体" w:cs="Times New Roman"/>
          <w:color w:val="auto"/>
          <w:sz w:val="24"/>
          <w:szCs w:val="24"/>
          <w:highlight w:val="none"/>
          <w:lang w:val="en-US" w:eastAsia="zh-CN"/>
        </w:rPr>
        <w:t>6 生态环境分区管控分析报告</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PAGEREF _Toc2135 \h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57</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36"/>
        <w:keepNext w:val="0"/>
        <w:keepLines w:val="0"/>
        <w:pageBreakBefore w:val="0"/>
        <w:widowControl w:val="0"/>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lang w:eastAsia="zh-CN"/>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hint="default" w:ascii="Times New Roman" w:hAnsi="Times New Roman" w:eastAsia="宋体" w:cs="Times New Roman"/>
          <w:color w:val="auto"/>
          <w:sz w:val="24"/>
          <w:szCs w:val="24"/>
          <w:lang w:eastAsia="zh-CN"/>
        </w:rPr>
        <w:fldChar w:fldCharType="end"/>
      </w:r>
    </w:p>
    <w:p>
      <w:pPr>
        <w:pStyle w:val="25"/>
        <w:jc w:val="center"/>
        <w:outlineLvl w:val="0"/>
        <w:rPr>
          <w:rFonts w:hint="default" w:ascii="Times New Roman" w:hAnsi="Times New Roman" w:eastAsia="黑体" w:cs="Times New Roman"/>
          <w:snapToGrid w:val="0"/>
          <w:color w:val="auto"/>
          <w:sz w:val="30"/>
          <w:szCs w:val="30"/>
        </w:rPr>
      </w:pPr>
      <w:bookmarkStart w:id="13" w:name="_Toc15523"/>
      <w:bookmarkStart w:id="14" w:name="_Toc25765"/>
      <w:r>
        <w:rPr>
          <w:rFonts w:hint="default" w:ascii="Times New Roman" w:hAnsi="Times New Roman" w:eastAsia="黑体" w:cs="Times New Roman"/>
          <w:snapToGrid w:val="0"/>
          <w:color w:val="auto"/>
          <w:sz w:val="30"/>
          <w:szCs w:val="30"/>
        </w:rPr>
        <w:t>一、建设项目基本情况</w:t>
      </w:r>
      <w:bookmarkEnd w:id="13"/>
      <w:bookmarkEnd w:id="14"/>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829"/>
        <w:gridCol w:w="2703"/>
        <w:gridCol w:w="2239"/>
        <w:gridCol w:w="28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建设项目名称</w:t>
            </w:r>
          </w:p>
        </w:tc>
        <w:tc>
          <w:tcPr>
            <w:tcW w:w="7809" w:type="dxa"/>
            <w:gridSpan w:val="3"/>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b w:val="0"/>
                <w:bCs w:val="0"/>
                <w:color w:val="auto"/>
                <w:sz w:val="24"/>
                <w:szCs w:val="24"/>
                <w:lang w:eastAsia="zh-CN"/>
              </w:rPr>
              <w:t>嘉荫县福财玉米种植专业合作社粮食烘干仓储设施建设项目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项目代码</w:t>
            </w:r>
          </w:p>
        </w:tc>
        <w:tc>
          <w:tcPr>
            <w:tcW w:w="7809" w:type="dxa"/>
            <w:gridSpan w:val="3"/>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建设单位联系人</w:t>
            </w:r>
          </w:p>
        </w:tc>
        <w:tc>
          <w:tcPr>
            <w:tcW w:w="2703"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p>
        </w:tc>
        <w:tc>
          <w:tcPr>
            <w:tcW w:w="2239"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联系方式</w:t>
            </w:r>
          </w:p>
        </w:tc>
        <w:tc>
          <w:tcPr>
            <w:tcW w:w="2867"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6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建设地点</w:t>
            </w:r>
          </w:p>
        </w:tc>
        <w:tc>
          <w:tcPr>
            <w:tcW w:w="7809" w:type="dxa"/>
            <w:gridSpan w:val="3"/>
            <w:noWrap w:val="0"/>
            <w:vAlign w:val="center"/>
          </w:tcPr>
          <w:p>
            <w:pPr>
              <w:adjustRightInd w:val="0"/>
              <w:snapToGrid w:val="0"/>
              <w:jc w:val="center"/>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伊春市嘉荫县嘉荫农场第一管理区第九作业点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地理坐标</w:t>
            </w:r>
          </w:p>
        </w:tc>
        <w:tc>
          <w:tcPr>
            <w:tcW w:w="7809" w:type="dxa"/>
            <w:gridSpan w:val="3"/>
            <w:noWrap w:val="0"/>
            <w:vAlign w:val="center"/>
          </w:tcPr>
          <w:p>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u w:val="single"/>
              </w:rPr>
              <w:t>1</w:t>
            </w:r>
            <w:r>
              <w:rPr>
                <w:rFonts w:hint="eastAsia" w:cs="Times New Roman"/>
                <w:color w:val="auto"/>
                <w:sz w:val="24"/>
                <w:szCs w:val="24"/>
                <w:highlight w:val="none"/>
                <w:u w:val="single"/>
                <w:lang w:val="en-US" w:eastAsia="zh-CN"/>
              </w:rPr>
              <w:t>30</w:t>
            </w:r>
            <w:r>
              <w:rPr>
                <w:rFonts w:hint="default" w:ascii="Times New Roman" w:hAnsi="Times New Roman" w:cs="Times New Roman"/>
                <w:color w:val="auto"/>
                <w:sz w:val="24"/>
                <w:szCs w:val="24"/>
                <w:highlight w:val="none"/>
              </w:rPr>
              <w:t>度</w:t>
            </w:r>
            <w:r>
              <w:rPr>
                <w:rFonts w:hint="eastAsia" w:cs="Times New Roman"/>
                <w:color w:val="auto"/>
                <w:sz w:val="24"/>
                <w:szCs w:val="24"/>
                <w:highlight w:val="none"/>
                <w:u w:val="single"/>
                <w:lang w:val="en-US" w:eastAsia="zh-CN"/>
              </w:rPr>
              <w:t>3</w:t>
            </w:r>
            <w:r>
              <w:rPr>
                <w:rFonts w:hint="default" w:ascii="Times New Roman" w:hAnsi="Times New Roman" w:cs="Times New Roman"/>
                <w:color w:val="auto"/>
                <w:sz w:val="24"/>
                <w:szCs w:val="24"/>
                <w:highlight w:val="none"/>
              </w:rPr>
              <w:t>分</w:t>
            </w:r>
            <w:r>
              <w:rPr>
                <w:rFonts w:hint="eastAsia" w:cs="Times New Roman"/>
                <w:color w:val="auto"/>
                <w:sz w:val="24"/>
                <w:szCs w:val="24"/>
                <w:highlight w:val="none"/>
                <w:u w:val="single"/>
                <w:lang w:val="en-US" w:eastAsia="zh-CN"/>
              </w:rPr>
              <w:t>52.970</w:t>
            </w:r>
            <w:r>
              <w:rPr>
                <w:rFonts w:hint="default" w:ascii="Times New Roman" w:hAnsi="Times New Roman" w:cs="Times New Roman"/>
                <w:color w:val="auto"/>
                <w:sz w:val="24"/>
                <w:szCs w:val="24"/>
                <w:highlight w:val="none"/>
              </w:rPr>
              <w:t>秒，</w:t>
            </w:r>
            <w:r>
              <w:rPr>
                <w:rFonts w:hint="default" w:ascii="Times New Roman" w:hAnsi="Times New Roman" w:cs="Times New Roman"/>
                <w:color w:val="auto"/>
                <w:sz w:val="24"/>
                <w:szCs w:val="24"/>
                <w:highlight w:val="none"/>
                <w:u w:val="single"/>
              </w:rPr>
              <w:t>4</w:t>
            </w:r>
            <w:r>
              <w:rPr>
                <w:rFonts w:hint="eastAsia" w:ascii="Times New Roman" w:hAnsi="Times New Roman" w:cs="Times New Roman"/>
                <w:color w:val="auto"/>
                <w:sz w:val="24"/>
                <w:szCs w:val="24"/>
                <w:highlight w:val="none"/>
                <w:u w:val="single"/>
                <w:lang w:val="en-US" w:eastAsia="zh-CN"/>
              </w:rPr>
              <w:t>8</w:t>
            </w:r>
            <w:r>
              <w:rPr>
                <w:rFonts w:hint="default" w:ascii="Times New Roman" w:hAnsi="Times New Roman" w:cs="Times New Roman"/>
                <w:color w:val="auto"/>
                <w:sz w:val="24"/>
                <w:szCs w:val="24"/>
                <w:highlight w:val="none"/>
                <w:u w:val="single"/>
              </w:rPr>
              <w:t>度</w:t>
            </w:r>
            <w:r>
              <w:rPr>
                <w:rFonts w:hint="eastAsia" w:cs="Times New Roman"/>
                <w:color w:val="auto"/>
                <w:sz w:val="24"/>
                <w:szCs w:val="24"/>
                <w:highlight w:val="none"/>
                <w:u w:val="single"/>
                <w:lang w:val="en-US" w:eastAsia="zh-CN"/>
              </w:rPr>
              <w:t>53</w:t>
            </w:r>
            <w:r>
              <w:rPr>
                <w:rFonts w:hint="default" w:ascii="Times New Roman" w:hAnsi="Times New Roman" w:cs="Times New Roman"/>
                <w:color w:val="auto"/>
                <w:sz w:val="24"/>
                <w:szCs w:val="24"/>
                <w:highlight w:val="none"/>
                <w:u w:val="single"/>
              </w:rPr>
              <w:t>分</w:t>
            </w:r>
            <w:r>
              <w:rPr>
                <w:rFonts w:hint="eastAsia" w:cs="Times New Roman"/>
                <w:color w:val="auto"/>
                <w:sz w:val="24"/>
                <w:szCs w:val="24"/>
                <w:highlight w:val="none"/>
                <w:u w:val="single"/>
                <w:lang w:val="en-US" w:eastAsia="zh-CN"/>
              </w:rPr>
              <w:t>16.242</w:t>
            </w:r>
            <w:r>
              <w:rPr>
                <w:rFonts w:hint="default" w:ascii="Times New Roman" w:hAnsi="Times New Roman" w:cs="Times New Roman"/>
                <w:color w:val="auto"/>
                <w:sz w:val="24"/>
                <w:szCs w:val="24"/>
                <w:highlight w:val="none"/>
                <w:u w:val="single"/>
              </w:rPr>
              <w:t>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735"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国民经济</w:t>
            </w:r>
          </w:p>
          <w:p>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行业类别</w:t>
            </w:r>
          </w:p>
        </w:tc>
        <w:tc>
          <w:tcPr>
            <w:tcW w:w="2703" w:type="dxa"/>
            <w:noWrap w:val="0"/>
            <w:vAlign w:val="center"/>
          </w:tcPr>
          <w:p>
            <w:pPr>
              <w:adjustRightInd w:val="0"/>
              <w:snapToGrid w:val="0"/>
              <w:jc w:val="center"/>
              <w:rPr>
                <w:rFonts w:hint="default"/>
                <w:color w:val="auto"/>
                <w:sz w:val="24"/>
                <w:szCs w:val="24"/>
                <w:lang w:val="en-US" w:eastAsia="zh-CN"/>
              </w:rPr>
            </w:pPr>
            <w:r>
              <w:rPr>
                <w:rFonts w:hint="default"/>
                <w:color w:val="auto"/>
                <w:sz w:val="24"/>
                <w:szCs w:val="24"/>
                <w:lang w:val="en-US" w:eastAsia="zh-CN"/>
              </w:rPr>
              <w:t>D4430热力生产和供应</w:t>
            </w:r>
          </w:p>
          <w:p>
            <w:pPr>
              <w:pStyle w:val="27"/>
              <w:ind w:left="0" w:leftChars="0" w:firstLine="0" w:firstLineChars="0"/>
              <w:jc w:val="center"/>
              <w:rPr>
                <w:rFonts w:hint="default"/>
                <w:color w:val="auto"/>
                <w:lang w:val="en-US" w:eastAsia="zh-CN"/>
              </w:rPr>
            </w:pPr>
            <w:r>
              <w:rPr>
                <w:rFonts w:hint="eastAsia"/>
                <w:color w:val="auto"/>
                <w:sz w:val="24"/>
                <w:szCs w:val="24"/>
                <w:lang w:val="en-US" w:eastAsia="zh-CN"/>
              </w:rPr>
              <w:t>A0514农产品初加工活动</w:t>
            </w:r>
          </w:p>
        </w:tc>
        <w:tc>
          <w:tcPr>
            <w:tcW w:w="223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行业类别</w:t>
            </w:r>
          </w:p>
        </w:tc>
        <w:tc>
          <w:tcPr>
            <w:tcW w:w="2867" w:type="dxa"/>
            <w:noWrap w:val="0"/>
            <w:vAlign w:val="center"/>
          </w:tcPr>
          <w:p>
            <w:pPr>
              <w:numPr>
                <w:ilvl w:val="0"/>
                <w:numId w:val="0"/>
              </w:numPr>
              <w:adjustRightInd w:val="0"/>
              <w:snapToGrid w:val="0"/>
              <w:ind w:left="0" w:leftChars="0" w:firstLine="0" w:firstLineChars="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91</w:t>
            </w:r>
            <w:r>
              <w:rPr>
                <w:rFonts w:hint="default" w:ascii="Times New Roman" w:hAnsi="Times New Roman" w:cs="Times New Roman"/>
                <w:color w:val="auto"/>
                <w:sz w:val="24"/>
                <w:szCs w:val="24"/>
              </w:rPr>
              <w:t>热力生产和供应工程 （包括建设单位自建 自用的供热工程）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1219"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建设性质</w:t>
            </w:r>
          </w:p>
        </w:tc>
        <w:tc>
          <w:tcPr>
            <w:tcW w:w="2703" w:type="dxa"/>
            <w:noWrap w:val="0"/>
            <w:vAlign w:val="center"/>
          </w:tcPr>
          <w:p>
            <w:pPr>
              <w:jc w:val="left"/>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新建（迁建）</w:t>
            </w:r>
          </w:p>
          <w:p>
            <w:pPr>
              <w:jc w:val="left"/>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改建</w:t>
            </w:r>
          </w:p>
          <w:p>
            <w:pPr>
              <w:jc w:val="left"/>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扩建</w:t>
            </w:r>
          </w:p>
          <w:p>
            <w:pPr>
              <w:jc w:val="left"/>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技术改造</w:t>
            </w:r>
          </w:p>
        </w:tc>
        <w:tc>
          <w:tcPr>
            <w:tcW w:w="223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申报情形</w:t>
            </w:r>
          </w:p>
        </w:tc>
        <w:tc>
          <w:tcPr>
            <w:tcW w:w="2867" w:type="dxa"/>
            <w:noWrap w:val="0"/>
            <w:vAlign w:val="center"/>
          </w:tcPr>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 xml:space="preserve">首次申报项目             </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□不予批准后再次申报项目</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□超五年重新审核项目     </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851"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项目审批（核准/</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备案）部门（选填）</w:t>
            </w:r>
          </w:p>
        </w:tc>
        <w:tc>
          <w:tcPr>
            <w:tcW w:w="270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无</w:t>
            </w:r>
          </w:p>
        </w:tc>
        <w:tc>
          <w:tcPr>
            <w:tcW w:w="223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项目审批（核准/</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备案）文号（选填）</w:t>
            </w:r>
          </w:p>
        </w:tc>
        <w:tc>
          <w:tcPr>
            <w:tcW w:w="2867"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总投资（万元）</w:t>
            </w:r>
          </w:p>
        </w:tc>
        <w:tc>
          <w:tcPr>
            <w:tcW w:w="2703" w:type="dxa"/>
            <w:noWrap w:val="0"/>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bCs/>
                <w:color w:val="auto"/>
                <w:kern w:val="0"/>
                <w:sz w:val="24"/>
                <w:szCs w:val="24"/>
                <w:highlight w:val="none"/>
                <w:lang w:val="en-US" w:eastAsia="zh-CN"/>
              </w:rPr>
              <w:t>500</w:t>
            </w:r>
          </w:p>
        </w:tc>
        <w:tc>
          <w:tcPr>
            <w:tcW w:w="22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环保投资（万元）</w:t>
            </w:r>
          </w:p>
        </w:tc>
        <w:tc>
          <w:tcPr>
            <w:tcW w:w="2867" w:type="dxa"/>
            <w:noWrap w:val="0"/>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bCs/>
                <w:color w:val="auto"/>
                <w:kern w:val="0"/>
                <w:sz w:val="24"/>
                <w:szCs w:val="24"/>
                <w:highlight w:val="none"/>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764"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环保投资占比（%）</w:t>
            </w:r>
          </w:p>
        </w:tc>
        <w:tc>
          <w:tcPr>
            <w:tcW w:w="2703" w:type="dxa"/>
            <w:noWrap w:val="0"/>
            <w:vAlign w:val="center"/>
          </w:tcPr>
          <w:p>
            <w:pPr>
              <w:adjustRightInd w:val="0"/>
              <w:snapToGrid w:val="0"/>
              <w:jc w:val="center"/>
              <w:rPr>
                <w:rFonts w:hint="default" w:ascii="Times New Roman" w:hAnsi="Times New Roman" w:eastAsia="宋体" w:cs="Times New Roman"/>
                <w:color w:val="auto"/>
                <w:sz w:val="24"/>
                <w:szCs w:val="24"/>
                <w:highlight w:val="yellow"/>
                <w:lang w:val="en-US" w:eastAsia="zh-CN"/>
              </w:rPr>
            </w:pPr>
            <w:r>
              <w:rPr>
                <w:rFonts w:hint="eastAsia" w:cs="Times New Roman"/>
                <w:color w:val="auto"/>
                <w:sz w:val="24"/>
                <w:szCs w:val="24"/>
                <w:highlight w:val="none"/>
                <w:lang w:val="en-US" w:eastAsia="zh-CN"/>
              </w:rPr>
              <w:t>2.00</w:t>
            </w:r>
            <w:r>
              <w:rPr>
                <w:rFonts w:hint="default" w:ascii="Times New Roman" w:hAnsi="Times New Roman" w:cs="Times New Roman"/>
                <w:color w:val="auto"/>
                <w:sz w:val="24"/>
                <w:szCs w:val="24"/>
                <w:highlight w:val="none"/>
              </w:rPr>
              <w:t>%</w:t>
            </w:r>
          </w:p>
        </w:tc>
        <w:tc>
          <w:tcPr>
            <w:tcW w:w="22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bCs/>
                <w:color w:val="auto"/>
                <w:kern w:val="0"/>
                <w:sz w:val="24"/>
                <w:szCs w:val="24"/>
                <w:highlight w:val="none"/>
              </w:rPr>
              <w:t>施工工期</w:t>
            </w:r>
          </w:p>
        </w:tc>
        <w:tc>
          <w:tcPr>
            <w:tcW w:w="2867" w:type="dxa"/>
            <w:noWrap w:val="0"/>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bCs/>
                <w:color w:val="auto"/>
                <w:kern w:val="0"/>
                <w:sz w:val="24"/>
                <w:szCs w:val="24"/>
                <w:highlight w:val="none"/>
              </w:rPr>
              <w:t>202</w:t>
            </w:r>
            <w:r>
              <w:rPr>
                <w:rFonts w:hint="eastAsia" w:cs="Times New Roman"/>
                <w:bCs/>
                <w:color w:val="auto"/>
                <w:kern w:val="0"/>
                <w:sz w:val="24"/>
                <w:szCs w:val="24"/>
                <w:highlight w:val="none"/>
                <w:lang w:val="en-US" w:eastAsia="zh-CN"/>
              </w:rPr>
              <w:t>6</w:t>
            </w:r>
            <w:r>
              <w:rPr>
                <w:rFonts w:hint="default" w:ascii="Times New Roman" w:hAnsi="Times New Roman" w:cs="Times New Roman"/>
                <w:bCs/>
                <w:color w:val="auto"/>
                <w:kern w:val="0"/>
                <w:sz w:val="24"/>
                <w:szCs w:val="24"/>
                <w:highlight w:val="none"/>
              </w:rPr>
              <w:t>.</w:t>
            </w:r>
            <w:r>
              <w:rPr>
                <w:rFonts w:hint="eastAsia" w:cs="Times New Roman"/>
                <w:bCs/>
                <w:color w:val="auto"/>
                <w:kern w:val="0"/>
                <w:sz w:val="24"/>
                <w:szCs w:val="24"/>
                <w:highlight w:val="none"/>
                <w:lang w:val="en-US" w:eastAsia="zh-CN"/>
              </w:rPr>
              <w:t>9</w:t>
            </w:r>
            <w:r>
              <w:rPr>
                <w:rFonts w:hint="eastAsia" w:ascii="Times New Roman" w:hAnsi="Times New Roman" w:cs="Times New Roman"/>
                <w:bCs/>
                <w:color w:val="auto"/>
                <w:kern w:val="0"/>
                <w:sz w:val="24"/>
                <w:szCs w:val="24"/>
                <w:highlight w:val="none"/>
                <w:lang w:val="en-US" w:eastAsia="zh-CN"/>
              </w:rPr>
              <w:t>-</w:t>
            </w:r>
            <w:r>
              <w:rPr>
                <w:rFonts w:hint="default" w:ascii="Times New Roman" w:hAnsi="Times New Roman" w:cs="Times New Roman"/>
                <w:bCs/>
                <w:color w:val="auto"/>
                <w:kern w:val="0"/>
                <w:sz w:val="24"/>
                <w:szCs w:val="24"/>
                <w:highlight w:val="none"/>
              </w:rPr>
              <w:t>202</w:t>
            </w:r>
            <w:r>
              <w:rPr>
                <w:rFonts w:hint="eastAsia" w:cs="Times New Roman"/>
                <w:bCs/>
                <w:color w:val="auto"/>
                <w:kern w:val="0"/>
                <w:sz w:val="24"/>
                <w:szCs w:val="24"/>
                <w:highlight w:val="none"/>
                <w:lang w:val="en-US" w:eastAsia="zh-CN"/>
              </w:rPr>
              <w:t>6</w:t>
            </w:r>
            <w:r>
              <w:rPr>
                <w:rFonts w:hint="default" w:ascii="Times New Roman" w:hAnsi="Times New Roman" w:cs="Times New Roman"/>
                <w:bCs/>
                <w:color w:val="auto"/>
                <w:kern w:val="0"/>
                <w:sz w:val="24"/>
                <w:szCs w:val="24"/>
                <w:highlight w:val="none"/>
              </w:rPr>
              <w:t>.</w:t>
            </w:r>
            <w:r>
              <w:rPr>
                <w:rFonts w:hint="eastAsia" w:cs="Times New Roman"/>
                <w:bCs/>
                <w:color w:val="auto"/>
                <w:kern w:val="0"/>
                <w:sz w:val="24"/>
                <w:szCs w:val="24"/>
                <w:highlight w:val="none"/>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是否开工建设</w:t>
            </w:r>
          </w:p>
        </w:tc>
        <w:tc>
          <w:tcPr>
            <w:tcW w:w="2703" w:type="dxa"/>
            <w:noWrap w:val="0"/>
            <w:vAlign w:val="center"/>
          </w:tcPr>
          <w:p>
            <w:pPr>
              <w:adjustRightInd w:val="0"/>
              <w:snapToGrid w:val="0"/>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否</w:t>
            </w:r>
          </w:p>
          <w:p>
            <w:pPr>
              <w:adjustRightInd w:val="0"/>
              <w:snapToGrid w:val="0"/>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是：</w:t>
            </w:r>
            <w:r>
              <w:rPr>
                <w:rFonts w:hint="default" w:ascii="Times New Roman" w:hAnsi="Times New Roman" w:cs="Times New Roman"/>
                <w:color w:val="auto"/>
                <w:sz w:val="24"/>
                <w:szCs w:val="24"/>
                <w:highlight w:val="none"/>
                <w:u w:val="single"/>
              </w:rPr>
              <w:t xml:space="preserve">    </w:t>
            </w:r>
          </w:p>
        </w:tc>
        <w:tc>
          <w:tcPr>
            <w:tcW w:w="22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用地（用海）</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pacing w:val="-6"/>
                <w:sz w:val="24"/>
                <w:szCs w:val="24"/>
              </w:rPr>
              <w:t>面积（m</w:t>
            </w:r>
            <w:r>
              <w:rPr>
                <w:rFonts w:hint="default" w:ascii="Times New Roman" w:hAnsi="Times New Roman" w:cs="Times New Roman"/>
                <w:color w:val="auto"/>
                <w:spacing w:val="-6"/>
                <w:sz w:val="24"/>
                <w:szCs w:val="24"/>
                <w:vertAlign w:val="superscript"/>
              </w:rPr>
              <w:t>2</w:t>
            </w:r>
            <w:r>
              <w:rPr>
                <w:rFonts w:hint="default" w:ascii="Times New Roman" w:hAnsi="Times New Roman" w:cs="Times New Roman"/>
                <w:color w:val="auto"/>
                <w:spacing w:val="-6"/>
                <w:sz w:val="24"/>
                <w:szCs w:val="24"/>
              </w:rPr>
              <w:t>）</w:t>
            </w:r>
          </w:p>
        </w:tc>
        <w:tc>
          <w:tcPr>
            <w:tcW w:w="286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bCs/>
                <w:color w:val="auto"/>
                <w:kern w:val="0"/>
                <w:sz w:val="24"/>
                <w:szCs w:val="24"/>
                <w:lang w:val="en-US" w:eastAsia="zh-CN"/>
              </w:rPr>
              <w:t>10000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7" w:hRule="atLeast"/>
          <w:jc w:val="center"/>
        </w:trPr>
        <w:tc>
          <w:tcPr>
            <w:tcW w:w="1829" w:type="dxa"/>
            <w:noWrap w:val="0"/>
            <w:vAlign w:val="center"/>
          </w:tcPr>
          <w:p>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专项评价设置情况</w:t>
            </w:r>
          </w:p>
        </w:tc>
        <w:tc>
          <w:tcPr>
            <w:tcW w:w="7809" w:type="dxa"/>
            <w:gridSpan w:val="3"/>
            <w:noWrap w:val="0"/>
            <w:vAlign w:val="center"/>
          </w:tcPr>
          <w:p>
            <w:pPr>
              <w:autoSpaceDE w:val="0"/>
              <w:autoSpaceDN w:val="0"/>
              <w:adjustRightInd w:val="0"/>
              <w:snapToGrid w:val="0"/>
              <w:spacing w:line="340" w:lineRule="exact"/>
              <w:jc w:val="center"/>
              <w:rPr>
                <w:rFonts w:hint="default" w:eastAsia="宋体"/>
                <w:color w:val="auto"/>
                <w:kern w:val="0"/>
                <w:sz w:val="24"/>
                <w:lang w:val="en-US" w:eastAsia="zh-CN"/>
              </w:rPr>
            </w:pPr>
            <w:r>
              <w:rPr>
                <w:rFonts w:hint="eastAsia"/>
                <w:color w:val="auto"/>
                <w:kern w:val="0"/>
                <w:sz w:val="24"/>
                <w:lang w:val="en-US" w:eastAsia="zh-CN"/>
              </w:rPr>
              <w:t>表1-1 专项评价设置情况</w:t>
            </w:r>
          </w:p>
          <w:tbl>
            <w:tblPr>
              <w:tblStyle w:val="30"/>
              <w:tblW w:w="7593" w:type="dxa"/>
              <w:jc w:val="center"/>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2761"/>
              <w:gridCol w:w="2935"/>
              <w:gridCol w:w="85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pStyle w:val="109"/>
                    <w:adjustRightInd w:val="0"/>
                    <w:snapToGrid w:val="0"/>
                    <w:spacing w:line="240" w:lineRule="auto"/>
                    <w:rPr>
                      <w:color w:val="auto"/>
                      <w:sz w:val="21"/>
                      <w:szCs w:val="21"/>
                    </w:rPr>
                  </w:pPr>
                  <w:r>
                    <w:rPr>
                      <w:color w:val="auto"/>
                      <w:sz w:val="21"/>
                      <w:szCs w:val="21"/>
                    </w:rPr>
                    <w:t>专项评价的类别</w:t>
                  </w:r>
                </w:p>
              </w:tc>
              <w:tc>
                <w:tcPr>
                  <w:tcW w:w="2761" w:type="dxa"/>
                  <w:noWrap w:val="0"/>
                  <w:vAlign w:val="center"/>
                </w:tcPr>
                <w:p>
                  <w:pPr>
                    <w:pStyle w:val="109"/>
                    <w:adjustRightInd w:val="0"/>
                    <w:snapToGrid w:val="0"/>
                    <w:spacing w:line="240" w:lineRule="auto"/>
                    <w:rPr>
                      <w:color w:val="auto"/>
                      <w:sz w:val="21"/>
                      <w:szCs w:val="21"/>
                    </w:rPr>
                  </w:pPr>
                  <w:r>
                    <w:rPr>
                      <w:color w:val="auto"/>
                      <w:sz w:val="21"/>
                      <w:szCs w:val="21"/>
                    </w:rPr>
                    <w:t>设置原则</w:t>
                  </w:r>
                </w:p>
              </w:tc>
              <w:tc>
                <w:tcPr>
                  <w:tcW w:w="2935" w:type="dxa"/>
                  <w:noWrap w:val="0"/>
                  <w:vAlign w:val="center"/>
                </w:tcPr>
                <w:p>
                  <w:pPr>
                    <w:pStyle w:val="109"/>
                    <w:adjustRightInd w:val="0"/>
                    <w:snapToGrid w:val="0"/>
                    <w:spacing w:line="240" w:lineRule="auto"/>
                    <w:rPr>
                      <w:color w:val="auto"/>
                      <w:sz w:val="21"/>
                      <w:szCs w:val="21"/>
                    </w:rPr>
                  </w:pPr>
                  <w:r>
                    <w:rPr>
                      <w:color w:val="auto"/>
                      <w:sz w:val="21"/>
                      <w:szCs w:val="21"/>
                    </w:rPr>
                    <w:t>本项目执行情况</w:t>
                  </w:r>
                </w:p>
              </w:tc>
              <w:tc>
                <w:tcPr>
                  <w:tcW w:w="854" w:type="dxa"/>
                  <w:noWrap w:val="0"/>
                  <w:vAlign w:val="center"/>
                </w:tcPr>
                <w:p>
                  <w:pPr>
                    <w:pStyle w:val="109"/>
                    <w:adjustRightInd w:val="0"/>
                    <w:snapToGrid w:val="0"/>
                    <w:spacing w:line="240" w:lineRule="auto"/>
                    <w:rPr>
                      <w:color w:val="auto"/>
                      <w:sz w:val="21"/>
                      <w:szCs w:val="21"/>
                    </w:rPr>
                  </w:pPr>
                  <w:r>
                    <w:rPr>
                      <w:rFonts w:hint="eastAsia"/>
                      <w:color w:val="auto"/>
                      <w:sz w:val="21"/>
                      <w:szCs w:val="21"/>
                    </w:rPr>
                    <w:t>是否开展专项评价</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adjustRightInd w:val="0"/>
                    <w:snapToGrid w:val="0"/>
                    <w:jc w:val="center"/>
                    <w:rPr>
                      <w:color w:val="auto"/>
                      <w:sz w:val="21"/>
                      <w:szCs w:val="21"/>
                    </w:rPr>
                  </w:pPr>
                  <w:r>
                    <w:rPr>
                      <w:color w:val="auto"/>
                      <w:sz w:val="21"/>
                      <w:szCs w:val="21"/>
                    </w:rPr>
                    <w:t>大气</w:t>
                  </w:r>
                </w:p>
              </w:tc>
              <w:tc>
                <w:tcPr>
                  <w:tcW w:w="2761" w:type="dxa"/>
                  <w:noWrap w:val="0"/>
                  <w:vAlign w:val="center"/>
                </w:tcPr>
                <w:p>
                  <w:pPr>
                    <w:adjustRightInd w:val="0"/>
                    <w:snapToGrid w:val="0"/>
                    <w:rPr>
                      <w:color w:val="auto"/>
                      <w:sz w:val="21"/>
                      <w:szCs w:val="21"/>
                    </w:rPr>
                  </w:pPr>
                  <w:r>
                    <w:rPr>
                      <w:color w:val="auto"/>
                      <w:sz w:val="21"/>
                      <w:szCs w:val="21"/>
                    </w:rPr>
                    <w:t>排放废气含有毒有害污染物、二噁英、苯并[a]芘、氰化物、氯气且厂界外500米范围内有环境空气保护目标的建设项目</w:t>
                  </w:r>
                </w:p>
              </w:tc>
              <w:tc>
                <w:tcPr>
                  <w:tcW w:w="2935" w:type="dxa"/>
                  <w:noWrap w:val="0"/>
                  <w:vAlign w:val="center"/>
                </w:tcPr>
                <w:p>
                  <w:pPr>
                    <w:adjustRightInd w:val="0"/>
                    <w:snapToGrid w:val="0"/>
                    <w:jc w:val="center"/>
                    <w:rPr>
                      <w:color w:val="auto"/>
                      <w:sz w:val="21"/>
                      <w:szCs w:val="21"/>
                    </w:rPr>
                  </w:pPr>
                  <w:r>
                    <w:rPr>
                      <w:rFonts w:hint="eastAsia"/>
                      <w:color w:val="auto"/>
                      <w:sz w:val="21"/>
                      <w:szCs w:val="21"/>
                      <w:lang w:val="en-US" w:eastAsia="zh-CN"/>
                    </w:rPr>
                    <w:t>本项目不排放</w:t>
                  </w:r>
                  <w:r>
                    <w:rPr>
                      <w:color w:val="auto"/>
                      <w:sz w:val="21"/>
                      <w:szCs w:val="21"/>
                    </w:rPr>
                    <w:t>含有毒有害污染物</w:t>
                  </w:r>
                  <w:r>
                    <w:rPr>
                      <w:rFonts w:hint="eastAsia"/>
                      <w:color w:val="auto"/>
                      <w:sz w:val="21"/>
                      <w:szCs w:val="21"/>
                      <w:lang w:eastAsia="zh-CN"/>
                    </w:rPr>
                    <w:t>，</w:t>
                  </w:r>
                  <w:r>
                    <w:rPr>
                      <w:rFonts w:hint="eastAsia"/>
                      <w:color w:val="auto"/>
                      <w:sz w:val="21"/>
                      <w:szCs w:val="21"/>
                    </w:rPr>
                    <w:t>不进行大气专项评价。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adjustRightInd w:val="0"/>
                    <w:snapToGrid w:val="0"/>
                    <w:jc w:val="center"/>
                    <w:rPr>
                      <w:color w:val="auto"/>
                      <w:sz w:val="21"/>
                      <w:szCs w:val="21"/>
                    </w:rPr>
                  </w:pPr>
                  <w:r>
                    <w:rPr>
                      <w:color w:val="auto"/>
                      <w:sz w:val="21"/>
                      <w:szCs w:val="21"/>
                    </w:rPr>
                    <w:t>地表水</w:t>
                  </w:r>
                </w:p>
              </w:tc>
              <w:tc>
                <w:tcPr>
                  <w:tcW w:w="2761" w:type="dxa"/>
                  <w:noWrap w:val="0"/>
                  <w:vAlign w:val="center"/>
                </w:tcPr>
                <w:p>
                  <w:pPr>
                    <w:adjustRightInd w:val="0"/>
                    <w:snapToGrid w:val="0"/>
                    <w:rPr>
                      <w:color w:val="auto"/>
                      <w:sz w:val="21"/>
                      <w:szCs w:val="21"/>
                    </w:rPr>
                  </w:pPr>
                  <w:r>
                    <w:rPr>
                      <w:color w:val="auto"/>
                      <w:sz w:val="21"/>
                      <w:szCs w:val="21"/>
                    </w:rPr>
                    <w:t>新增工业废水直排建设项目（槽罐车外送污水处理厂的除外）；</w:t>
                  </w:r>
                </w:p>
                <w:p>
                  <w:pPr>
                    <w:adjustRightInd w:val="0"/>
                    <w:snapToGrid w:val="0"/>
                    <w:rPr>
                      <w:color w:val="auto"/>
                      <w:sz w:val="21"/>
                      <w:szCs w:val="21"/>
                    </w:rPr>
                  </w:pPr>
                  <w:r>
                    <w:rPr>
                      <w:color w:val="auto"/>
                      <w:sz w:val="21"/>
                      <w:szCs w:val="21"/>
                    </w:rPr>
                    <w:t>新增废水直排的污水集中处理厂</w:t>
                  </w:r>
                </w:p>
              </w:tc>
              <w:tc>
                <w:tcPr>
                  <w:tcW w:w="2935" w:type="dxa"/>
                  <w:noWrap w:val="0"/>
                  <w:vAlign w:val="center"/>
                </w:tcPr>
                <w:p>
                  <w:pPr>
                    <w:adjustRightInd w:val="0"/>
                    <w:snapToGrid w:val="0"/>
                    <w:jc w:val="center"/>
                    <w:rPr>
                      <w:color w:val="auto"/>
                      <w:sz w:val="21"/>
                      <w:szCs w:val="21"/>
                    </w:rPr>
                  </w:pPr>
                  <w:r>
                    <w:rPr>
                      <w:bCs/>
                      <w:color w:val="auto"/>
                      <w:sz w:val="21"/>
                      <w:szCs w:val="21"/>
                    </w:rPr>
                    <w:t>本项目</w:t>
                  </w:r>
                  <w:r>
                    <w:rPr>
                      <w:rFonts w:hint="eastAsia"/>
                      <w:bCs/>
                      <w:color w:val="auto"/>
                      <w:sz w:val="21"/>
                      <w:szCs w:val="21"/>
                      <w:lang w:val="en-US" w:eastAsia="zh-CN"/>
                    </w:rPr>
                    <w:t>废水不直接排放</w:t>
                  </w:r>
                  <w:r>
                    <w:rPr>
                      <w:color w:val="auto"/>
                      <w:sz w:val="21"/>
                      <w:szCs w:val="21"/>
                    </w:rPr>
                    <w:t>。不开展专项评价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828" w:hRule="atLeast"/>
                <w:jc w:val="center"/>
              </w:trPr>
              <w:tc>
                <w:tcPr>
                  <w:tcW w:w="1043" w:type="dxa"/>
                  <w:noWrap w:val="0"/>
                  <w:vAlign w:val="center"/>
                </w:tcPr>
                <w:p>
                  <w:pPr>
                    <w:adjustRightInd w:val="0"/>
                    <w:snapToGrid w:val="0"/>
                    <w:jc w:val="center"/>
                    <w:rPr>
                      <w:color w:val="auto"/>
                      <w:sz w:val="21"/>
                      <w:szCs w:val="21"/>
                    </w:rPr>
                  </w:pPr>
                  <w:r>
                    <w:rPr>
                      <w:color w:val="auto"/>
                      <w:sz w:val="21"/>
                      <w:szCs w:val="21"/>
                    </w:rPr>
                    <w:t>环境风险</w:t>
                  </w:r>
                </w:p>
              </w:tc>
              <w:tc>
                <w:tcPr>
                  <w:tcW w:w="2761" w:type="dxa"/>
                  <w:noWrap w:val="0"/>
                  <w:vAlign w:val="center"/>
                </w:tcPr>
                <w:p>
                  <w:pPr>
                    <w:adjustRightInd w:val="0"/>
                    <w:snapToGrid w:val="0"/>
                    <w:rPr>
                      <w:color w:val="auto"/>
                      <w:sz w:val="21"/>
                      <w:szCs w:val="21"/>
                    </w:rPr>
                  </w:pPr>
                  <w:r>
                    <w:rPr>
                      <w:color w:val="auto"/>
                      <w:sz w:val="21"/>
                      <w:szCs w:val="21"/>
                    </w:rPr>
                    <w:t>有毒有害和易燃易爆危险物质存储量超过临界量的建设项目</w:t>
                  </w:r>
                </w:p>
              </w:tc>
              <w:tc>
                <w:tcPr>
                  <w:tcW w:w="2935" w:type="dxa"/>
                  <w:noWrap w:val="0"/>
                  <w:vAlign w:val="center"/>
                </w:tcPr>
                <w:p>
                  <w:pPr>
                    <w:adjustRightInd w:val="0"/>
                    <w:snapToGrid w:val="0"/>
                    <w:jc w:val="center"/>
                    <w:rPr>
                      <w:color w:val="auto"/>
                      <w:sz w:val="21"/>
                      <w:szCs w:val="21"/>
                    </w:rPr>
                  </w:pPr>
                  <w:r>
                    <w:rPr>
                      <w:color w:val="auto"/>
                      <w:sz w:val="21"/>
                      <w:szCs w:val="21"/>
                    </w:rPr>
                    <w:t>本项目危险物质存储量</w:t>
                  </w:r>
                  <w:r>
                    <w:rPr>
                      <w:rFonts w:hint="eastAsia"/>
                      <w:color w:val="auto"/>
                      <w:sz w:val="21"/>
                      <w:szCs w:val="21"/>
                      <w:lang w:val="en-US" w:eastAsia="zh-CN"/>
                    </w:rPr>
                    <w:t>小于</w:t>
                  </w:r>
                  <w:r>
                    <w:rPr>
                      <w:color w:val="auto"/>
                      <w:sz w:val="21"/>
                      <w:szCs w:val="21"/>
                    </w:rPr>
                    <w:t>临界量</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adjustRightInd w:val="0"/>
                    <w:snapToGrid w:val="0"/>
                    <w:jc w:val="center"/>
                    <w:rPr>
                      <w:color w:val="auto"/>
                      <w:sz w:val="21"/>
                      <w:szCs w:val="21"/>
                    </w:rPr>
                  </w:pPr>
                  <w:r>
                    <w:rPr>
                      <w:color w:val="auto"/>
                      <w:sz w:val="21"/>
                      <w:szCs w:val="21"/>
                    </w:rPr>
                    <w:t>生态</w:t>
                  </w:r>
                </w:p>
              </w:tc>
              <w:tc>
                <w:tcPr>
                  <w:tcW w:w="2761" w:type="dxa"/>
                  <w:noWrap w:val="0"/>
                  <w:vAlign w:val="center"/>
                </w:tcPr>
                <w:p>
                  <w:pPr>
                    <w:adjustRightInd w:val="0"/>
                    <w:snapToGrid w:val="0"/>
                    <w:rPr>
                      <w:color w:val="auto"/>
                      <w:sz w:val="21"/>
                      <w:szCs w:val="21"/>
                    </w:rPr>
                  </w:pPr>
                  <w:r>
                    <w:rPr>
                      <w:color w:val="auto"/>
                      <w:sz w:val="21"/>
                      <w:szCs w:val="21"/>
                    </w:rPr>
                    <w:t>取水口下游500米范围内有重要水生生物的自然产卵场、索饵场、越冬场和洄游通道的新增河道取水的污染类建设项目</w:t>
                  </w:r>
                </w:p>
              </w:tc>
              <w:tc>
                <w:tcPr>
                  <w:tcW w:w="2935" w:type="dxa"/>
                  <w:noWrap w:val="0"/>
                  <w:vAlign w:val="center"/>
                </w:tcPr>
                <w:p>
                  <w:pPr>
                    <w:adjustRightInd w:val="0"/>
                    <w:snapToGrid w:val="0"/>
                    <w:jc w:val="center"/>
                    <w:rPr>
                      <w:color w:val="auto"/>
                      <w:sz w:val="21"/>
                      <w:szCs w:val="21"/>
                    </w:rPr>
                  </w:pPr>
                  <w:r>
                    <w:rPr>
                      <w:color w:val="auto"/>
                      <w:sz w:val="21"/>
                      <w:szCs w:val="21"/>
                    </w:rPr>
                    <w:t>本项目不涉及，不开展专项评价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043" w:type="dxa"/>
                  <w:noWrap w:val="0"/>
                  <w:vAlign w:val="center"/>
                </w:tcPr>
                <w:p>
                  <w:pPr>
                    <w:adjustRightInd w:val="0"/>
                    <w:snapToGrid w:val="0"/>
                    <w:jc w:val="center"/>
                    <w:rPr>
                      <w:color w:val="auto"/>
                      <w:sz w:val="21"/>
                      <w:szCs w:val="21"/>
                    </w:rPr>
                  </w:pPr>
                  <w:r>
                    <w:rPr>
                      <w:color w:val="auto"/>
                      <w:sz w:val="21"/>
                      <w:szCs w:val="21"/>
                    </w:rPr>
                    <w:t>海洋</w:t>
                  </w:r>
                </w:p>
              </w:tc>
              <w:tc>
                <w:tcPr>
                  <w:tcW w:w="2761" w:type="dxa"/>
                  <w:noWrap w:val="0"/>
                  <w:vAlign w:val="center"/>
                </w:tcPr>
                <w:p>
                  <w:pPr>
                    <w:adjustRightInd w:val="0"/>
                    <w:snapToGrid w:val="0"/>
                    <w:rPr>
                      <w:color w:val="auto"/>
                      <w:sz w:val="21"/>
                      <w:szCs w:val="21"/>
                    </w:rPr>
                  </w:pPr>
                  <w:r>
                    <w:rPr>
                      <w:color w:val="auto"/>
                      <w:sz w:val="21"/>
                      <w:szCs w:val="21"/>
                    </w:rPr>
                    <w:t>直接向海排放污染物的海洋工程建设项目</w:t>
                  </w:r>
                </w:p>
              </w:tc>
              <w:tc>
                <w:tcPr>
                  <w:tcW w:w="2935" w:type="dxa"/>
                  <w:noWrap w:val="0"/>
                  <w:vAlign w:val="center"/>
                </w:tcPr>
                <w:p>
                  <w:pPr>
                    <w:adjustRightInd w:val="0"/>
                    <w:snapToGrid w:val="0"/>
                    <w:jc w:val="center"/>
                    <w:rPr>
                      <w:color w:val="auto"/>
                      <w:sz w:val="21"/>
                      <w:szCs w:val="21"/>
                    </w:rPr>
                  </w:pPr>
                  <w:r>
                    <w:rPr>
                      <w:color w:val="auto"/>
                      <w:sz w:val="21"/>
                      <w:szCs w:val="21"/>
                    </w:rPr>
                    <w:t>本项目不涉及，不开展专项评价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adjustRightInd w:val="0"/>
                    <w:snapToGrid w:val="0"/>
                    <w:jc w:val="center"/>
                    <w:rPr>
                      <w:color w:val="auto"/>
                      <w:sz w:val="21"/>
                      <w:szCs w:val="21"/>
                    </w:rPr>
                  </w:pPr>
                  <w:r>
                    <w:rPr>
                      <w:color w:val="auto"/>
                      <w:sz w:val="21"/>
                      <w:szCs w:val="21"/>
                    </w:rPr>
                    <w:t>地下水</w:t>
                  </w:r>
                </w:p>
              </w:tc>
              <w:tc>
                <w:tcPr>
                  <w:tcW w:w="2761" w:type="dxa"/>
                  <w:noWrap w:val="0"/>
                  <w:vAlign w:val="center"/>
                </w:tcPr>
                <w:p>
                  <w:pPr>
                    <w:adjustRightInd w:val="0"/>
                    <w:snapToGrid w:val="0"/>
                    <w:rPr>
                      <w:color w:val="auto"/>
                      <w:sz w:val="21"/>
                      <w:szCs w:val="21"/>
                    </w:rPr>
                  </w:pPr>
                  <w:r>
                    <w:rPr>
                      <w:color w:val="auto"/>
                      <w:sz w:val="21"/>
                      <w:szCs w:val="21"/>
                    </w:rPr>
                    <w:t>地下水原则上不开展专项评价，涉及集中式饮用水水源和热水、矿泉水、温泉等特殊地下水资源保护区的</w:t>
                  </w:r>
                  <w:r>
                    <w:rPr>
                      <w:rFonts w:hint="eastAsia"/>
                      <w:color w:val="auto"/>
                      <w:sz w:val="21"/>
                      <w:szCs w:val="21"/>
                      <w:lang w:eastAsia="zh-CN"/>
                    </w:rPr>
                    <w:t>，开</w:t>
                  </w:r>
                  <w:r>
                    <w:rPr>
                      <w:color w:val="auto"/>
                      <w:sz w:val="21"/>
                      <w:szCs w:val="21"/>
                    </w:rPr>
                    <w:t>展地下水专项评价工作</w:t>
                  </w:r>
                </w:p>
              </w:tc>
              <w:tc>
                <w:tcPr>
                  <w:tcW w:w="2935" w:type="dxa"/>
                  <w:noWrap w:val="0"/>
                  <w:vAlign w:val="center"/>
                </w:tcPr>
                <w:p>
                  <w:pPr>
                    <w:adjustRightInd w:val="0"/>
                    <w:snapToGrid w:val="0"/>
                    <w:jc w:val="center"/>
                    <w:rPr>
                      <w:color w:val="auto"/>
                      <w:sz w:val="21"/>
                      <w:szCs w:val="21"/>
                    </w:rPr>
                  </w:pPr>
                  <w:r>
                    <w:rPr>
                      <w:color w:val="auto"/>
                      <w:sz w:val="21"/>
                      <w:szCs w:val="21"/>
                    </w:rPr>
                    <w:t>本项目不涉及集中式饮用水水源和热水、矿泉水、温泉等特殊地下水资源保护区，不开展专项评价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043" w:type="dxa"/>
                  <w:noWrap w:val="0"/>
                  <w:vAlign w:val="center"/>
                </w:tcPr>
                <w:p>
                  <w:pPr>
                    <w:adjustRightInd w:val="0"/>
                    <w:snapToGrid w:val="0"/>
                    <w:jc w:val="center"/>
                    <w:rPr>
                      <w:color w:val="auto"/>
                      <w:sz w:val="21"/>
                      <w:szCs w:val="21"/>
                    </w:rPr>
                  </w:pPr>
                  <w:r>
                    <w:rPr>
                      <w:color w:val="auto"/>
                      <w:sz w:val="21"/>
                      <w:szCs w:val="21"/>
                    </w:rPr>
                    <w:t>土壤、噪声</w:t>
                  </w:r>
                </w:p>
              </w:tc>
              <w:tc>
                <w:tcPr>
                  <w:tcW w:w="2761" w:type="dxa"/>
                  <w:noWrap w:val="0"/>
                  <w:vAlign w:val="center"/>
                </w:tcPr>
                <w:p>
                  <w:pPr>
                    <w:adjustRightInd w:val="0"/>
                    <w:snapToGrid w:val="0"/>
                    <w:rPr>
                      <w:color w:val="auto"/>
                      <w:sz w:val="21"/>
                      <w:szCs w:val="21"/>
                    </w:rPr>
                  </w:pPr>
                  <w:r>
                    <w:rPr>
                      <w:color w:val="auto"/>
                      <w:sz w:val="21"/>
                      <w:szCs w:val="21"/>
                    </w:rPr>
                    <w:t>土壤、声环境不开展专项评价</w:t>
                  </w:r>
                </w:p>
              </w:tc>
              <w:tc>
                <w:tcPr>
                  <w:tcW w:w="2935" w:type="dxa"/>
                  <w:noWrap w:val="0"/>
                  <w:vAlign w:val="center"/>
                </w:tcPr>
                <w:p>
                  <w:pPr>
                    <w:adjustRightInd w:val="0"/>
                    <w:snapToGrid w:val="0"/>
                    <w:jc w:val="center"/>
                    <w:rPr>
                      <w:color w:val="auto"/>
                      <w:sz w:val="21"/>
                      <w:szCs w:val="21"/>
                    </w:rPr>
                  </w:pPr>
                  <w:r>
                    <w:rPr>
                      <w:color w:val="auto"/>
                      <w:sz w:val="21"/>
                      <w:szCs w:val="21"/>
                    </w:rPr>
                    <w:t>本项目土壤、声环境不开展专项评价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bl>
          <w:p>
            <w:pPr>
              <w:autoSpaceDE w:val="0"/>
              <w:autoSpaceDN w:val="0"/>
              <w:adjustRightInd w:val="0"/>
              <w:snapToGrid w:val="0"/>
              <w:jc w:val="center"/>
              <w:rPr>
                <w:rFonts w:hint="default" w:ascii="Times New Roman" w:hAnsi="Times New Roman" w:eastAsia="宋体" w:cs="Times New Roman"/>
                <w:color w:val="auto"/>
                <w:kern w:val="0"/>
                <w:sz w:val="24"/>
                <w:szCs w:val="24"/>
                <w:lang w:val="en-US" w:eastAsia="zh-CN"/>
              </w:rPr>
            </w:pPr>
            <w:r>
              <w:rPr>
                <w:color w:val="auto"/>
                <w:szCs w:val="21"/>
              </w:rPr>
              <w:t>注：1.废气中有毒有害污染物指纳入《有毒有害大气污染物名录》的污染物（不包括无排放标准的污染物）</w:t>
            </w:r>
            <w:r>
              <w:rPr>
                <w:rFonts w:hint="eastAsia"/>
                <w:color w:val="auto"/>
                <w:szCs w:val="21"/>
              </w:rPr>
              <w:t>；</w:t>
            </w:r>
            <w:r>
              <w:rPr>
                <w:color w:val="auto"/>
                <w:szCs w:val="21"/>
              </w:rPr>
              <w:t>2.环境空气保护目标指自然保护区、风景名胜区、居住区、文化区和农村地区中人群较集中的区域</w:t>
            </w:r>
            <w:r>
              <w:rPr>
                <w:rFonts w:hint="eastAsia"/>
                <w:color w:val="auto"/>
                <w:szCs w:val="21"/>
              </w:rPr>
              <w:t>；</w:t>
            </w:r>
            <w:r>
              <w:rPr>
                <w:color w:val="auto"/>
                <w:szCs w:val="21"/>
              </w:rPr>
              <w:t>3.临界量及其计算方法可参考《建设项目环境风险评价技术导则》（HJ 169）附录B、附录C。</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jc w:val="center"/>
        </w:trPr>
        <w:tc>
          <w:tcPr>
            <w:tcW w:w="1829" w:type="dxa"/>
            <w:noWrap w:val="0"/>
            <w:vAlign w:val="center"/>
          </w:tcPr>
          <w:p>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规划情况</w:t>
            </w:r>
          </w:p>
        </w:tc>
        <w:tc>
          <w:tcPr>
            <w:tcW w:w="7809" w:type="dxa"/>
            <w:gridSpan w:val="3"/>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jc w:val="center"/>
        </w:trPr>
        <w:tc>
          <w:tcPr>
            <w:tcW w:w="182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规划环境影响</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评价情况</w:t>
            </w:r>
          </w:p>
        </w:tc>
        <w:tc>
          <w:tcPr>
            <w:tcW w:w="7809" w:type="dxa"/>
            <w:gridSpan w:val="3"/>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86" w:hRule="atLeast"/>
          <w:jc w:val="center"/>
        </w:trPr>
        <w:tc>
          <w:tcPr>
            <w:tcW w:w="1829" w:type="dxa"/>
            <w:noWrap w:val="0"/>
            <w:vAlign w:val="center"/>
          </w:tcPr>
          <w:p>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规划及规划环境影响评价符合性分析</w:t>
            </w:r>
          </w:p>
        </w:tc>
        <w:tc>
          <w:tcPr>
            <w:tcW w:w="7809" w:type="dxa"/>
            <w:gridSpan w:val="3"/>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3338" w:hRule="atLeast"/>
          <w:jc w:val="center"/>
        </w:trPr>
        <w:tc>
          <w:tcPr>
            <w:tcW w:w="1829" w:type="dxa"/>
            <w:noWrap w:val="0"/>
            <w:vAlign w:val="center"/>
          </w:tcPr>
          <w:p>
            <w:pPr>
              <w:autoSpaceDE w:val="0"/>
              <w:autoSpaceDN w:val="0"/>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其他符合性分析</w:t>
            </w:r>
          </w:p>
        </w:tc>
        <w:tc>
          <w:tcPr>
            <w:tcW w:w="7809" w:type="dxa"/>
            <w:gridSpan w:val="3"/>
            <w:noWrap w:val="0"/>
            <w:vAlign w:val="top"/>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1</w:t>
            </w:r>
            <w:r>
              <w:rPr>
                <w:rFonts w:hint="eastAsia" w:cs="Times New Roman"/>
                <w:color w:val="auto"/>
                <w:kern w:val="0"/>
                <w:sz w:val="24"/>
                <w:szCs w:val="24"/>
                <w:highlight w:val="none"/>
                <w:lang w:val="en-US" w:eastAsia="zh-CN"/>
              </w:rPr>
              <w:t>.与生态环境分区管控</w:t>
            </w:r>
            <w:r>
              <w:rPr>
                <w:rFonts w:hint="default" w:ascii="Times New Roman" w:hAnsi="Times New Roman" w:cs="Times New Roman"/>
                <w:color w:val="auto"/>
                <w:kern w:val="0"/>
                <w:sz w:val="24"/>
                <w:szCs w:val="24"/>
                <w:highlight w:val="none"/>
                <w:lang w:val="en-US" w:eastAsia="zh-CN"/>
              </w:rPr>
              <w:t>符合性分析：</w:t>
            </w:r>
          </w:p>
          <w:p>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szCs w:val="24"/>
                <w:highlight w:val="none"/>
              </w:rPr>
            </w:pPr>
            <w:r>
              <w:rPr>
                <w:color w:val="auto"/>
                <w:kern w:val="0"/>
                <w:sz w:val="24"/>
                <w:szCs w:val="21"/>
              </w:rPr>
              <w:t>（1）生态保护红线符合性</w:t>
            </w:r>
            <w:r>
              <w:rPr>
                <w:rFonts w:hint="default" w:ascii="Times New Roman" w:hAnsi="Times New Roman" w:cs="Times New Roman"/>
                <w:color w:val="auto"/>
                <w:kern w:val="0"/>
                <w:sz w:val="24"/>
                <w:szCs w:val="24"/>
                <w:highlight w:val="none"/>
              </w:rPr>
              <w:t>：</w:t>
            </w:r>
          </w:p>
          <w:p>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本项目厂址所在区域不属于生态保护红线范围内。</w:t>
            </w:r>
          </w:p>
          <w:p>
            <w:pPr>
              <w:autoSpaceDE w:val="0"/>
              <w:autoSpaceDN w:val="0"/>
              <w:adjustRightInd w:val="0"/>
              <w:snapToGrid w:val="0"/>
              <w:spacing w:line="360" w:lineRule="auto"/>
              <w:ind w:firstLine="480" w:firstLineChars="200"/>
              <w:jc w:val="left"/>
              <w:rPr>
                <w:color w:val="auto"/>
                <w:kern w:val="0"/>
                <w:sz w:val="24"/>
                <w:szCs w:val="21"/>
              </w:rPr>
            </w:pPr>
            <w:r>
              <w:rPr>
                <w:color w:val="auto"/>
                <w:kern w:val="0"/>
                <w:sz w:val="24"/>
                <w:szCs w:val="21"/>
              </w:rPr>
              <w:t>（2）环境质量底线符合性</w:t>
            </w:r>
          </w:p>
          <w:p>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kern w:val="0"/>
                <w:sz w:val="24"/>
                <w:szCs w:val="21"/>
              </w:rPr>
            </w:pPr>
            <w:r>
              <w:rPr>
                <w:rFonts w:hint="default" w:ascii="Times New Roman" w:hAnsi="Times New Roman" w:eastAsia="宋体" w:cs="Times New Roman"/>
                <w:color w:val="auto"/>
                <w:kern w:val="0"/>
                <w:sz w:val="24"/>
                <w:szCs w:val="21"/>
              </w:rPr>
              <w:t>项目投产后</w:t>
            </w:r>
            <w:r>
              <w:rPr>
                <w:rFonts w:hint="default" w:ascii="Times New Roman" w:hAnsi="Times New Roman" w:eastAsia="宋体" w:cs="Times New Roman"/>
                <w:color w:val="auto"/>
                <w:kern w:val="0"/>
                <w:sz w:val="24"/>
                <w:szCs w:val="21"/>
                <w:lang w:eastAsia="zh-CN"/>
              </w:rPr>
              <w:t>产生的</w:t>
            </w:r>
            <w:r>
              <w:rPr>
                <w:rFonts w:hint="eastAsia" w:ascii="Times New Roman" w:hAnsi="Times New Roman" w:eastAsia="宋体" w:cs="Times New Roman"/>
                <w:color w:val="auto"/>
                <w:kern w:val="0"/>
                <w:sz w:val="24"/>
                <w:szCs w:val="21"/>
                <w:lang w:val="en-US" w:eastAsia="zh-CN"/>
              </w:rPr>
              <w:t>废气</w:t>
            </w:r>
            <w:r>
              <w:rPr>
                <w:rFonts w:hint="default" w:ascii="Times New Roman" w:hAnsi="Times New Roman" w:eastAsia="宋体" w:cs="Times New Roman"/>
                <w:color w:val="auto"/>
                <w:kern w:val="0"/>
                <w:sz w:val="24"/>
                <w:szCs w:val="21"/>
                <w:lang w:eastAsia="zh-CN"/>
              </w:rPr>
              <w:t>污染物</w:t>
            </w:r>
            <w:r>
              <w:rPr>
                <w:rFonts w:hint="default" w:ascii="Times New Roman" w:hAnsi="Times New Roman" w:eastAsia="宋体" w:cs="Times New Roman"/>
                <w:color w:val="auto"/>
                <w:kern w:val="0"/>
                <w:sz w:val="24"/>
                <w:szCs w:val="21"/>
              </w:rPr>
              <w:t>经</w:t>
            </w:r>
            <w:r>
              <w:rPr>
                <w:rFonts w:hint="eastAsia" w:ascii="Times New Roman" w:hAnsi="Times New Roman" w:eastAsia="宋体" w:cs="Times New Roman"/>
                <w:color w:val="auto"/>
                <w:kern w:val="0"/>
                <w:sz w:val="24"/>
                <w:szCs w:val="21"/>
                <w:lang w:val="en-US" w:eastAsia="zh-CN"/>
              </w:rPr>
              <w:t>相应</w:t>
            </w:r>
            <w:r>
              <w:rPr>
                <w:rFonts w:hint="default" w:ascii="Times New Roman" w:hAnsi="Times New Roman" w:eastAsia="宋体" w:cs="Times New Roman"/>
                <w:color w:val="auto"/>
                <w:kern w:val="0"/>
                <w:sz w:val="24"/>
                <w:szCs w:val="21"/>
                <w:lang w:eastAsia="zh-CN"/>
              </w:rPr>
              <w:t>措施</w:t>
            </w:r>
            <w:r>
              <w:rPr>
                <w:rFonts w:hint="default" w:ascii="Times New Roman" w:hAnsi="Times New Roman" w:eastAsia="宋体" w:cs="Times New Roman"/>
                <w:color w:val="auto"/>
                <w:kern w:val="0"/>
                <w:sz w:val="24"/>
                <w:szCs w:val="21"/>
              </w:rPr>
              <w:t>处理后均能满足相应的污染物排放标准。本项目</w:t>
            </w:r>
            <w:r>
              <w:rPr>
                <w:rFonts w:hint="default" w:ascii="Times New Roman" w:hAnsi="Times New Roman" w:eastAsia="宋体" w:cs="Times New Roman"/>
                <w:color w:val="auto"/>
                <w:kern w:val="0"/>
                <w:sz w:val="24"/>
                <w:szCs w:val="21"/>
                <w:lang w:eastAsia="zh-CN"/>
              </w:rPr>
              <w:t>废水</w:t>
            </w:r>
            <w:r>
              <w:rPr>
                <w:rFonts w:hint="eastAsia" w:cs="Times New Roman"/>
                <w:color w:val="auto"/>
                <w:kern w:val="0"/>
                <w:sz w:val="24"/>
                <w:szCs w:val="21"/>
                <w:lang w:val="en-US" w:eastAsia="zh-CN"/>
              </w:rPr>
              <w:t>不外排</w:t>
            </w:r>
            <w:r>
              <w:rPr>
                <w:rFonts w:hint="eastAsia" w:ascii="Times New Roman" w:hAnsi="Times New Roman" w:eastAsia="宋体" w:cs="Times New Roman"/>
                <w:color w:val="auto"/>
                <w:kern w:val="0"/>
                <w:sz w:val="24"/>
                <w:szCs w:val="21"/>
                <w:lang w:val="en-US" w:eastAsia="zh-CN"/>
              </w:rPr>
              <w:t>，</w:t>
            </w:r>
            <w:r>
              <w:rPr>
                <w:rFonts w:hint="default" w:ascii="Times New Roman" w:hAnsi="Times New Roman" w:eastAsia="宋体" w:cs="Times New Roman"/>
                <w:color w:val="auto"/>
                <w:kern w:val="0"/>
                <w:sz w:val="24"/>
                <w:szCs w:val="21"/>
              </w:rPr>
              <w:t>对周围环境影响不大。厂界噪声满足《工业企业厂界环境噪声排放标准》（GB12348-2008）</w:t>
            </w:r>
            <w:r>
              <w:rPr>
                <w:rFonts w:hint="eastAsia" w:cs="Times New Roman"/>
                <w:color w:val="auto"/>
                <w:kern w:val="0"/>
                <w:sz w:val="24"/>
                <w:szCs w:val="21"/>
                <w:lang w:val="en-US" w:eastAsia="zh-CN"/>
              </w:rPr>
              <w:t>中2类</w:t>
            </w:r>
            <w:r>
              <w:rPr>
                <w:rFonts w:hint="default" w:ascii="Times New Roman" w:hAnsi="Times New Roman" w:eastAsia="宋体" w:cs="Times New Roman"/>
                <w:color w:val="auto"/>
                <w:kern w:val="0"/>
                <w:sz w:val="24"/>
                <w:szCs w:val="21"/>
              </w:rPr>
              <w:t>标准要求；本项目产生的固体废物通过相应的处理措施后，处理效率可达到100%，实现了固体废物处理的无害化，减量化及资源化的目标。经预测，本项目运营期所排放的污染物经各类污染防治措施处理后，均能达标排放，符合环境质量底线要求。</w:t>
            </w:r>
          </w:p>
          <w:p>
            <w:pPr>
              <w:autoSpaceDE w:val="0"/>
              <w:autoSpaceDN w:val="0"/>
              <w:adjustRightInd w:val="0"/>
              <w:snapToGrid w:val="0"/>
              <w:spacing w:line="360" w:lineRule="auto"/>
              <w:ind w:firstLine="480" w:firstLineChars="200"/>
              <w:jc w:val="left"/>
              <w:rPr>
                <w:color w:val="auto"/>
                <w:kern w:val="0"/>
                <w:sz w:val="24"/>
                <w:szCs w:val="21"/>
              </w:rPr>
            </w:pPr>
            <w:r>
              <w:rPr>
                <w:color w:val="auto"/>
                <w:kern w:val="0"/>
                <w:sz w:val="24"/>
                <w:szCs w:val="21"/>
              </w:rPr>
              <w:t>（3）资源利用</w:t>
            </w:r>
            <w:r>
              <w:rPr>
                <w:rFonts w:hint="eastAsia"/>
                <w:color w:val="auto"/>
                <w:kern w:val="0"/>
                <w:sz w:val="24"/>
                <w:szCs w:val="21"/>
              </w:rPr>
              <w:t>上线</w:t>
            </w:r>
            <w:r>
              <w:rPr>
                <w:color w:val="auto"/>
                <w:kern w:val="0"/>
                <w:sz w:val="24"/>
                <w:szCs w:val="21"/>
              </w:rPr>
              <w:t>符合性</w:t>
            </w:r>
          </w:p>
          <w:p>
            <w:pPr>
              <w:autoSpaceDE w:val="0"/>
              <w:autoSpaceDN w:val="0"/>
              <w:adjustRightInd w:val="0"/>
              <w:snapToGrid w:val="0"/>
              <w:spacing w:line="360" w:lineRule="auto"/>
              <w:ind w:firstLine="480" w:firstLineChars="200"/>
              <w:jc w:val="left"/>
              <w:rPr>
                <w:rFonts w:hint="default" w:eastAsia="宋体"/>
                <w:color w:val="auto"/>
                <w:kern w:val="0"/>
                <w:sz w:val="24"/>
                <w:szCs w:val="21"/>
                <w:lang w:val="en-US" w:eastAsia="zh-CN"/>
              </w:rPr>
            </w:pPr>
            <w:r>
              <w:rPr>
                <w:rFonts w:hint="eastAsia"/>
                <w:color w:val="auto"/>
                <w:kern w:val="0"/>
                <w:sz w:val="24"/>
                <w:szCs w:val="21"/>
                <w:lang w:val="en-US" w:eastAsia="zh-CN"/>
              </w:rPr>
              <w:t>本项目建成后用水量较小，不属于高耗水项目，燃料选用生物质燃料，不新增煤炭资源消耗，本项目不占用耕地，占地性质为设施农用地，符合资源利用上线要求。</w:t>
            </w:r>
          </w:p>
          <w:p>
            <w:pPr>
              <w:autoSpaceDE w:val="0"/>
              <w:autoSpaceDN w:val="0"/>
              <w:adjustRightInd w:val="0"/>
              <w:snapToGrid w:val="0"/>
              <w:spacing w:line="360" w:lineRule="auto"/>
              <w:ind w:firstLine="480" w:firstLineChars="200"/>
              <w:jc w:val="left"/>
              <w:rPr>
                <w:color w:val="auto"/>
                <w:kern w:val="0"/>
                <w:sz w:val="24"/>
                <w:szCs w:val="21"/>
              </w:rPr>
            </w:pPr>
            <w:r>
              <w:rPr>
                <w:color w:val="auto"/>
                <w:kern w:val="0"/>
                <w:sz w:val="24"/>
                <w:szCs w:val="21"/>
              </w:rPr>
              <w:t>（4）环境准入负面清单符合性</w:t>
            </w:r>
          </w:p>
          <w:p>
            <w:pPr>
              <w:autoSpaceDE w:val="0"/>
              <w:autoSpaceDN w:val="0"/>
              <w:adjustRightInd w:val="0"/>
              <w:snapToGrid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根据《黑龙江省生态环境分区管控应用技术指南环境影响评价》中相关规定：“环评文件涉及“三线一单</w:t>
            </w:r>
            <w:r>
              <w:rPr>
                <w:rFonts w:hint="eastAsia" w:cs="Times New Roman"/>
                <w:color w:val="auto"/>
                <w:sz w:val="24"/>
                <w:lang w:val="en-US" w:eastAsia="zh-CN"/>
              </w:rPr>
              <w:t>·</w:t>
            </w:r>
            <w:r>
              <w:rPr>
                <w:rFonts w:hint="eastAsia" w:ascii="Times New Roman" w:hAnsi="Times New Roman" w:eastAsia="宋体" w:cs="Times New Roman"/>
                <w:color w:val="auto"/>
                <w:sz w:val="24"/>
              </w:rPr>
              <w:t>生态环境分区管控符合性分析采取“一图一表一说明”的表达方式</w:t>
            </w:r>
            <w:r>
              <w:rPr>
                <w:rFonts w:hint="eastAsia" w:cs="Times New Roman"/>
                <w:color w:val="auto"/>
                <w:sz w:val="24"/>
                <w:lang w:eastAsia="zh-CN"/>
              </w:rPr>
              <w:t>。”</w:t>
            </w:r>
            <w:r>
              <w:rPr>
                <w:rFonts w:hint="eastAsia" w:ascii="Times New Roman" w:hAnsi="Times New Roman" w:eastAsia="宋体" w:cs="Times New Roman"/>
                <w:color w:val="auto"/>
                <w:sz w:val="24"/>
              </w:rPr>
              <w:t>本项目具体分析如下：</w:t>
            </w:r>
          </w:p>
          <w:p>
            <w:pPr>
              <w:autoSpaceDE w:val="0"/>
              <w:autoSpaceDN w:val="0"/>
              <w:adjustRightInd w:val="0"/>
              <w:snapToGrid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①一图</w:t>
            </w:r>
          </w:p>
          <w:p>
            <w:pPr>
              <w:autoSpaceDE w:val="0"/>
              <w:autoSpaceDN w:val="0"/>
              <w:adjustRightInd w:val="0"/>
              <w:snapToGrid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根据本项目“生态环境分区管控分析报告”，本项目与环境管控单元叠加图如下：</w:t>
            </w:r>
          </w:p>
          <w:p>
            <w:pPr>
              <w:autoSpaceDE w:val="0"/>
              <w:autoSpaceDN w:val="0"/>
              <w:adjustRightInd w:val="0"/>
              <w:snapToGrid w:val="0"/>
              <w:spacing w:line="360" w:lineRule="auto"/>
              <w:jc w:val="center"/>
              <w:rPr>
                <w:color w:val="auto"/>
              </w:rPr>
            </w:pPr>
            <w:r>
              <w:rPr>
                <w:color w:val="auto"/>
              </w:rPr>
              <w:drawing>
                <wp:inline distT="0" distB="0" distL="114300" distR="114300">
                  <wp:extent cx="4214495" cy="2310130"/>
                  <wp:effectExtent l="0" t="0" r="14605" b="13970"/>
                  <wp:docPr id="5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1"/>
                          <pic:cNvPicPr>
                            <a:picLocks noChangeAspect="1"/>
                          </pic:cNvPicPr>
                        </pic:nvPicPr>
                        <pic:blipFill>
                          <a:blip r:embed="rId9"/>
                          <a:stretch>
                            <a:fillRect/>
                          </a:stretch>
                        </pic:blipFill>
                        <pic:spPr>
                          <a:xfrm>
                            <a:off x="0" y="0"/>
                            <a:ext cx="4214495" cy="2310130"/>
                          </a:xfrm>
                          <a:prstGeom prst="rect">
                            <a:avLst/>
                          </a:prstGeom>
                          <a:noFill/>
                          <a:ln>
                            <a:noFill/>
                          </a:ln>
                        </pic:spPr>
                      </pic:pic>
                    </a:graphicData>
                  </a:graphic>
                </wp:inline>
              </w:drawing>
            </w:r>
          </w:p>
          <w:p>
            <w:pPr>
              <w:autoSpaceDE w:val="0"/>
              <w:autoSpaceDN w:val="0"/>
              <w:adjustRightInd w:val="0"/>
              <w:snapToGrid w:val="0"/>
              <w:spacing w:line="360" w:lineRule="auto"/>
              <w:ind w:firstLine="482" w:firstLineChars="200"/>
              <w:jc w:val="center"/>
              <w:rPr>
                <w:rFonts w:hint="default" w:eastAsia="宋体"/>
                <w:b/>
                <w:bCs/>
                <w:color w:val="auto"/>
                <w:sz w:val="24"/>
                <w:szCs w:val="32"/>
                <w:lang w:val="en-US" w:eastAsia="zh-CN"/>
              </w:rPr>
            </w:pPr>
            <w:r>
              <w:rPr>
                <w:rFonts w:hint="eastAsia"/>
                <w:b/>
                <w:bCs/>
                <w:color w:val="auto"/>
                <w:sz w:val="24"/>
                <w:szCs w:val="32"/>
                <w:lang w:val="en-US" w:eastAsia="zh-CN"/>
              </w:rPr>
              <w:t>图1-1 与环境管控单元位置叠加图</w:t>
            </w:r>
          </w:p>
          <w:p>
            <w:pPr>
              <w:autoSpaceDE w:val="0"/>
              <w:autoSpaceDN w:val="0"/>
              <w:adjustRightInd w:val="0"/>
              <w:snapToGrid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②</w:t>
            </w:r>
            <w:r>
              <w:rPr>
                <w:rFonts w:hint="eastAsia" w:ascii="Times New Roman" w:hAnsi="Times New Roman" w:eastAsia="宋体" w:cs="Times New Roman"/>
                <w:color w:val="auto"/>
                <w:sz w:val="24"/>
              </w:rPr>
              <w:t>一</w:t>
            </w:r>
            <w:r>
              <w:rPr>
                <w:rFonts w:hint="eastAsia" w:ascii="Times New Roman" w:hAnsi="Times New Roman" w:eastAsia="宋体" w:cs="Times New Roman"/>
                <w:color w:val="auto"/>
                <w:sz w:val="24"/>
                <w:lang w:val="en-US" w:eastAsia="zh-CN"/>
              </w:rPr>
              <w:t>表</w:t>
            </w:r>
          </w:p>
          <w:p>
            <w:pPr>
              <w:autoSpaceDE w:val="0"/>
              <w:autoSpaceDN w:val="0"/>
              <w:adjustRightInd w:val="0"/>
              <w:snapToGrid w:val="0"/>
              <w:jc w:val="center"/>
              <w:rPr>
                <w:b/>
                <w:bCs/>
                <w:color w:val="auto"/>
                <w:sz w:val="21"/>
                <w:szCs w:val="21"/>
              </w:rPr>
            </w:pPr>
            <w:r>
              <w:rPr>
                <w:b/>
                <w:bCs/>
                <w:color w:val="auto"/>
                <w:sz w:val="21"/>
                <w:szCs w:val="21"/>
              </w:rPr>
              <w:t>表1</w:t>
            </w:r>
            <w:r>
              <w:rPr>
                <w:rFonts w:hint="eastAsia"/>
                <w:b/>
                <w:bCs/>
                <w:color w:val="auto"/>
                <w:sz w:val="21"/>
                <w:szCs w:val="21"/>
              </w:rPr>
              <w:t>-</w:t>
            </w:r>
            <w:r>
              <w:rPr>
                <w:rFonts w:hint="eastAsia"/>
                <w:b/>
                <w:bCs/>
                <w:color w:val="auto"/>
                <w:sz w:val="21"/>
                <w:szCs w:val="21"/>
                <w:lang w:val="en-US" w:eastAsia="zh-CN"/>
              </w:rPr>
              <w:t xml:space="preserve">2 </w:t>
            </w:r>
            <w:r>
              <w:rPr>
                <w:rFonts w:hint="eastAsia"/>
                <w:b/>
                <w:bCs/>
                <w:color w:val="auto"/>
                <w:sz w:val="21"/>
                <w:szCs w:val="21"/>
              </w:rPr>
              <w:t>伊春市嘉荫县</w:t>
            </w:r>
            <w:r>
              <w:rPr>
                <w:b/>
                <w:bCs/>
                <w:color w:val="auto"/>
                <w:sz w:val="21"/>
                <w:szCs w:val="21"/>
              </w:rPr>
              <w:t>生态环境准入清单符合性分析</w:t>
            </w:r>
          </w:p>
          <w:tbl>
            <w:tblPr>
              <w:tblStyle w:val="30"/>
              <w:tblW w:w="7593"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084"/>
              <w:gridCol w:w="864"/>
              <w:gridCol w:w="667"/>
              <w:gridCol w:w="667"/>
              <w:gridCol w:w="2337"/>
              <w:gridCol w:w="1974"/>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760" w:hRule="atLeast"/>
              </w:trPr>
              <w:tc>
                <w:tcPr>
                  <w:tcW w:w="1084"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环境管控单元编码</w:t>
                  </w:r>
                </w:p>
              </w:tc>
              <w:tc>
                <w:tcPr>
                  <w:tcW w:w="864"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环境管控</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单元名称</w:t>
                  </w:r>
                </w:p>
              </w:tc>
              <w:tc>
                <w:tcPr>
                  <w:tcW w:w="667"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管控单</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元类别</w:t>
                  </w:r>
                </w:p>
              </w:tc>
              <w:tc>
                <w:tcPr>
                  <w:tcW w:w="3004" w:type="dxa"/>
                  <w:gridSpan w:val="2"/>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管控要求</w:t>
                  </w:r>
                </w:p>
              </w:tc>
              <w:tc>
                <w:tcPr>
                  <w:tcW w:w="1974"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符合性分析</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760" w:hRule="atLeast"/>
              </w:trPr>
              <w:tc>
                <w:tcPr>
                  <w:tcW w:w="1084" w:type="dxa"/>
                  <w:noWrap w:val="0"/>
                  <w:vAlign w:val="center"/>
                </w:tcPr>
                <w:p>
                  <w:pPr>
                    <w:pStyle w:val="48"/>
                    <w:keepNext w:val="0"/>
                    <w:keepLines w:val="0"/>
                    <w:suppressLineNumbers w:val="0"/>
                    <w:spacing w:before="0" w:beforeAutospacing="0" w:after="0" w:afterAutospacing="0" w:line="276" w:lineRule="auto"/>
                    <w:ind w:left="0" w:leftChars="0" w:right="0" w:rightChars="0" w:firstLine="0" w:firstLineChars="0"/>
                    <w:jc w:val="center"/>
                    <w:textAlignment w:val="center"/>
                    <w:rPr>
                      <w:rFonts w:hint="default" w:ascii="Times New Roman" w:hAnsi="Times New Roman" w:eastAsia="宋体"/>
                      <w:color w:val="auto"/>
                      <w:sz w:val="21"/>
                      <w:szCs w:val="21"/>
                      <w:lang w:val="en-US" w:eastAsia="zh-CN"/>
                    </w:rPr>
                  </w:pPr>
                  <w:r>
                    <w:rPr>
                      <w:rFonts w:hint="eastAsia" w:ascii="Times New Roman" w:hAnsi="Times New Roman" w:eastAsia="Times New Roman" w:cs="Times New Roman"/>
                      <w:color w:val="auto"/>
                      <w:sz w:val="21"/>
                      <w:szCs w:val="21"/>
                    </w:rPr>
                    <w:t>ZH23072210002</w:t>
                  </w:r>
                </w:p>
              </w:tc>
              <w:tc>
                <w:tcPr>
                  <w:tcW w:w="864" w:type="dxa"/>
                  <w:noWrap w:val="0"/>
                  <w:vAlign w:val="center"/>
                </w:tcPr>
                <w:p>
                  <w:pPr>
                    <w:pStyle w:val="48"/>
                    <w:keepNext w:val="0"/>
                    <w:keepLines w:val="0"/>
                    <w:suppressLineNumbers w:val="0"/>
                    <w:spacing w:before="0" w:beforeAutospacing="0" w:after="0" w:afterAutospacing="0" w:line="276" w:lineRule="auto"/>
                    <w:ind w:left="0" w:leftChars="0" w:right="0" w:rightChars="0" w:firstLine="0" w:firstLineChars="0"/>
                    <w:jc w:val="center"/>
                    <w:textAlignment w:val="center"/>
                    <w:rPr>
                      <w:rFonts w:hint="default" w:ascii="PingFangSC-Light" w:hAnsi="PingFangSC-Light" w:eastAsia="PingFangSC-Light" w:cs="PingFangSC-Light"/>
                      <w:color w:val="auto"/>
                      <w:kern w:val="0"/>
                      <w:sz w:val="22"/>
                      <w:szCs w:val="22"/>
                      <w:lang w:val="en-US" w:eastAsia="zh-CN" w:bidi="ar"/>
                    </w:rPr>
                  </w:pPr>
                  <w:r>
                    <w:rPr>
                      <w:rFonts w:hint="eastAsia" w:ascii="Times New Roman" w:hAnsi="Times New Roman" w:eastAsia="Times New Roman" w:cs="Times New Roman"/>
                      <w:color w:val="auto"/>
                      <w:sz w:val="21"/>
                      <w:szCs w:val="21"/>
                    </w:rPr>
                    <w:t>嘉荫县一般生态空间</w:t>
                  </w:r>
                </w:p>
              </w:tc>
              <w:tc>
                <w:tcPr>
                  <w:tcW w:w="667" w:type="dxa"/>
                  <w:noWrap w:val="0"/>
                  <w:vAlign w:val="center"/>
                </w:tcPr>
                <w:p>
                  <w:pPr>
                    <w:pStyle w:val="48"/>
                    <w:keepNext w:val="0"/>
                    <w:keepLines w:val="0"/>
                    <w:suppressLineNumbers w:val="0"/>
                    <w:spacing w:before="0" w:beforeAutospacing="0" w:after="0" w:afterAutospacing="0" w:line="276" w:lineRule="auto"/>
                    <w:ind w:left="0" w:leftChars="0" w:right="0" w:rightChars="0" w:firstLine="0" w:firstLineChars="0"/>
                    <w:jc w:val="center"/>
                    <w:textAlignment w:val="center"/>
                    <w:rPr>
                      <w:rFonts w:hint="eastAsia" w:ascii="Times New Roman" w:hAnsi="Times New Roman"/>
                      <w:color w:val="auto"/>
                      <w:sz w:val="21"/>
                      <w:szCs w:val="21"/>
                    </w:rPr>
                  </w:pPr>
                  <w:r>
                    <w:rPr>
                      <w:rFonts w:hint="eastAsia" w:ascii="Times New Roman" w:hAnsi="Times New Roman" w:eastAsia="Times New Roman" w:cs="Times New Roman"/>
                      <w:color w:val="auto"/>
                      <w:sz w:val="21"/>
                      <w:szCs w:val="21"/>
                    </w:rPr>
                    <w:t>优先保护单元</w:t>
                  </w:r>
                </w:p>
              </w:tc>
              <w:tc>
                <w:tcPr>
                  <w:tcW w:w="667" w:type="dxa"/>
                  <w:noWrap w:val="0"/>
                  <w:vAlign w:val="center"/>
                </w:tcPr>
                <w:p>
                  <w:pPr>
                    <w:pStyle w:val="48"/>
                    <w:keepNext w:val="0"/>
                    <w:keepLines w:val="0"/>
                    <w:suppressLineNumbers w:val="0"/>
                    <w:spacing w:before="0" w:beforeAutospacing="0" w:after="0" w:afterAutospacing="0" w:line="276" w:lineRule="auto"/>
                    <w:ind w:left="0" w:leftChars="0" w:right="0" w:rightChars="0" w:firstLine="0" w:firstLineChars="0"/>
                    <w:jc w:val="center"/>
                    <w:textAlignment w:val="center"/>
                    <w:rPr>
                      <w:rFonts w:hint="eastAsia" w:ascii="Times New Roman" w:hAnsi="Times New Roman"/>
                      <w:color w:val="auto"/>
                      <w:sz w:val="21"/>
                      <w:szCs w:val="21"/>
                    </w:rPr>
                  </w:pPr>
                  <w:r>
                    <w:rPr>
                      <w:rFonts w:hint="eastAsia" w:ascii="Times New Roman" w:hAnsi="Times New Roman" w:eastAsia="Times New Roman" w:cs="Times New Roman"/>
                      <w:color w:val="auto"/>
                      <w:sz w:val="21"/>
                      <w:szCs w:val="21"/>
                    </w:rPr>
                    <w:t>空间布局约束</w:t>
                  </w:r>
                </w:p>
              </w:tc>
              <w:tc>
                <w:tcPr>
                  <w:tcW w:w="2337"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eastAsia="Times New Roman" w:cs="Times New Roman"/>
                      <w:color w:val="auto"/>
                      <w:sz w:val="21"/>
                      <w:szCs w:val="21"/>
                    </w:rPr>
                  </w:pPr>
                  <w:r>
                    <w:rPr>
                      <w:rFonts w:hint="eastAsia" w:ascii="Times New Roman" w:hAnsi="Times New Roman" w:eastAsia="Times New Roman" w:cs="Times New Roman"/>
                      <w:color w:val="auto"/>
                      <w:sz w:val="21"/>
                      <w:szCs w:val="21"/>
                      <w:lang w:val="en-US"/>
                    </w:rPr>
                    <w:t>1.</w:t>
                  </w:r>
                  <w:r>
                    <w:rPr>
                      <w:rFonts w:hint="eastAsia" w:ascii="Times New Roman" w:hAnsi="Times New Roman" w:eastAsia="Times New Roman" w:cs="Times New Roman"/>
                      <w:color w:val="auto"/>
                      <w:sz w:val="21"/>
                      <w:szCs w:val="21"/>
                    </w:rPr>
                    <w:t>区域准入要求执行：</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eastAsia="Times New Roman" w:cs="Times New Roman"/>
                      <w:color w:val="auto"/>
                      <w:sz w:val="21"/>
                      <w:szCs w:val="21"/>
                    </w:rPr>
                  </w:pPr>
                  <w:r>
                    <w:rPr>
                      <w:rFonts w:hint="eastAsia" w:ascii="Times New Roman" w:hAnsi="Times New Roman" w:eastAsia="Times New Roman" w:cs="Times New Roman"/>
                      <w:color w:val="auto"/>
                      <w:sz w:val="21"/>
                      <w:szCs w:val="21"/>
                    </w:rPr>
                    <w:t>（1）原则上按限制开发区域的要求进行管理。严格限制与生态功能不一致的开发建设活动。符合区域准入条件的新增建设项目，涉及占用生态空间中的林地、草原等，按有关法律法规规定办理；涉及占用生态空间中其他未作明确规定的用地，应当加强论证和管理。符合条件的农业开发项目，须依法由市县级及以上地方人民政府统筹安排。除符合国家生态退耕条件的耕地，并纳入国家生态退耕总体安排，或因国家重大生态工程建设需要外，不得随意转用。</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eastAsia="Times New Roman" w:cs="Times New Roman"/>
                      <w:color w:val="auto"/>
                      <w:sz w:val="21"/>
                      <w:szCs w:val="21"/>
                    </w:rPr>
                  </w:pPr>
                  <w:r>
                    <w:rPr>
                      <w:rFonts w:hint="eastAsia" w:ascii="Times New Roman" w:hAnsi="Times New Roman" w:eastAsia="Times New Roman" w:cs="Times New Roman"/>
                      <w:color w:val="auto"/>
                      <w:sz w:val="21"/>
                      <w:szCs w:val="21"/>
                    </w:rPr>
                    <w:t>（2）对依法保护的生态空间实行承载力控制，防止过度垦殖、放牧、采伐、取水、渔猎、旅游等对生态功能造成损害，确保自然生态系统的稳定。</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eastAsia="Times New Roman" w:cs="Times New Roman"/>
                      <w:color w:val="auto"/>
                      <w:sz w:val="21"/>
                      <w:szCs w:val="21"/>
                    </w:rPr>
                  </w:pPr>
                  <w:r>
                    <w:rPr>
                      <w:rFonts w:hint="eastAsia" w:ascii="Times New Roman" w:hAnsi="Times New Roman" w:eastAsia="Times New Roman" w:cs="Times New Roman"/>
                      <w:color w:val="auto"/>
                      <w:sz w:val="21"/>
                      <w:szCs w:val="21"/>
                    </w:rPr>
                    <w:t>（3）避免开发建设活动损害其生态服务功能和生态产品质量。</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eastAsia="Times New Roman" w:cs="Times New Roman"/>
                      <w:color w:val="auto"/>
                      <w:sz w:val="21"/>
                      <w:szCs w:val="21"/>
                      <w:lang w:val="en-US"/>
                    </w:rPr>
                  </w:pPr>
                  <w:r>
                    <w:rPr>
                      <w:rFonts w:hint="eastAsia" w:ascii="Times New Roman" w:hAnsi="Times New Roman" w:eastAsia="Times New Roman" w:cs="Times New Roman"/>
                      <w:color w:val="auto"/>
                      <w:sz w:val="21"/>
                      <w:szCs w:val="21"/>
                    </w:rPr>
                    <w:t>（4）已经侵占生态空间的，应建立退出机制、制定治理方案及时间表。</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eastAsia="Times New Roman" w:cs="Times New Roman"/>
                      <w:color w:val="auto"/>
                      <w:sz w:val="21"/>
                      <w:szCs w:val="21"/>
                    </w:rPr>
                  </w:pPr>
                  <w:r>
                    <w:rPr>
                      <w:rFonts w:hint="eastAsia" w:ascii="Times New Roman" w:hAnsi="Times New Roman" w:eastAsia="Times New Roman" w:cs="Times New Roman"/>
                      <w:color w:val="auto"/>
                      <w:sz w:val="21"/>
                      <w:szCs w:val="21"/>
                    </w:rPr>
                    <w:t>2.黑龙江嘉荫段黑斑狗鱼雅罗鱼国家级水产种质资源保护区同时执行准入要求：</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eastAsia="Times New Roman" w:cs="Times New Roman"/>
                      <w:color w:val="auto"/>
                      <w:sz w:val="21"/>
                      <w:szCs w:val="21"/>
                      <w:lang w:val="zh-CN"/>
                    </w:rPr>
                  </w:pPr>
                  <w:r>
                    <w:rPr>
                      <w:rFonts w:hint="eastAsia" w:ascii="Times New Roman" w:hAnsi="Times New Roman" w:eastAsia="Times New Roman" w:cs="Times New Roman"/>
                      <w:color w:val="auto"/>
                      <w:sz w:val="21"/>
                      <w:szCs w:val="21"/>
                    </w:rPr>
                    <w:t>（1）不</w:t>
                  </w:r>
                  <w:r>
                    <w:rPr>
                      <w:rFonts w:hint="eastAsia" w:ascii="Times New Roman" w:hAnsi="Times New Roman" w:eastAsia="Times New Roman" w:cs="Times New Roman"/>
                      <w:color w:val="auto"/>
                      <w:sz w:val="21"/>
                      <w:szCs w:val="21"/>
                      <w:lang w:val="zh-CN"/>
                    </w:rPr>
                    <w:t>得损害水产种质资源及其生存环境。</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eastAsia="Times New Roman" w:cs="Times New Roman"/>
                      <w:color w:val="auto"/>
                      <w:sz w:val="21"/>
                      <w:szCs w:val="21"/>
                      <w:lang w:val="zh-CN"/>
                    </w:rPr>
                  </w:pPr>
                  <w:r>
                    <w:rPr>
                      <w:rFonts w:hint="eastAsia" w:ascii="Times New Roman" w:hAnsi="Times New Roman" w:eastAsia="Times New Roman" w:cs="Times New Roman"/>
                      <w:color w:val="auto"/>
                      <w:sz w:val="21"/>
                      <w:szCs w:val="21"/>
                    </w:rPr>
                    <w:t>（2）</w:t>
                  </w:r>
                  <w:r>
                    <w:rPr>
                      <w:rFonts w:hint="eastAsia" w:ascii="Times New Roman" w:hAnsi="Times New Roman" w:eastAsia="Times New Roman" w:cs="Times New Roman"/>
                      <w:color w:val="auto"/>
                      <w:sz w:val="21"/>
                      <w:szCs w:val="21"/>
                      <w:lang w:val="zh-CN"/>
                    </w:rPr>
                    <w:t>禁止在水产种质资源保护区内从事围湖造田工程。</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eastAsia="Times New Roman" w:cs="Times New Roman"/>
                      <w:color w:val="auto"/>
                      <w:sz w:val="21"/>
                      <w:szCs w:val="21"/>
                      <w:lang w:val="zh-CN"/>
                    </w:rPr>
                  </w:pPr>
                  <w:r>
                    <w:rPr>
                      <w:rFonts w:hint="eastAsia" w:ascii="Times New Roman" w:hAnsi="Times New Roman" w:eastAsia="Times New Roman" w:cs="Times New Roman"/>
                      <w:color w:val="auto"/>
                      <w:sz w:val="21"/>
                      <w:szCs w:val="21"/>
                    </w:rPr>
                    <w:t>（3）</w:t>
                  </w:r>
                  <w:r>
                    <w:rPr>
                      <w:rFonts w:hint="eastAsia" w:ascii="Times New Roman" w:hAnsi="Times New Roman" w:eastAsia="Times New Roman" w:cs="Times New Roman"/>
                      <w:color w:val="auto"/>
                      <w:sz w:val="21"/>
                      <w:szCs w:val="21"/>
                      <w:lang w:val="zh-CN"/>
                    </w:rPr>
                    <w:t>禁止在水产种质资源保护区内新建排污口。</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eastAsia="Times New Roman" w:cs="Times New Roman"/>
                      <w:color w:val="auto"/>
                      <w:sz w:val="21"/>
                      <w:szCs w:val="21"/>
                      <w:lang w:val="zh-CN"/>
                    </w:rPr>
                  </w:pPr>
                  <w:r>
                    <w:rPr>
                      <w:rFonts w:hint="eastAsia" w:ascii="Times New Roman" w:hAnsi="Times New Roman" w:eastAsia="Times New Roman" w:cs="Times New Roman"/>
                      <w:color w:val="auto"/>
                      <w:sz w:val="21"/>
                      <w:szCs w:val="21"/>
                    </w:rPr>
                    <w:t>（4）</w:t>
                  </w:r>
                  <w:r>
                    <w:rPr>
                      <w:rFonts w:hint="eastAsia" w:ascii="Times New Roman" w:hAnsi="Times New Roman" w:eastAsia="Times New Roman" w:cs="Times New Roman"/>
                      <w:color w:val="auto"/>
                      <w:sz w:val="21"/>
                      <w:szCs w:val="21"/>
                      <w:lang w:val="zh-CN"/>
                    </w:rPr>
                    <w:t>在水产种质资源保护区附近新建、改建、扩建排污口，应当保证保护区水体不受污染。</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eastAsia="Times New Roman" w:cs="Times New Roman"/>
                      <w:color w:val="auto"/>
                      <w:sz w:val="21"/>
                      <w:szCs w:val="21"/>
                      <w:lang w:val="zh-CN"/>
                    </w:rPr>
                  </w:pPr>
                  <w:r>
                    <w:rPr>
                      <w:rFonts w:hint="eastAsia" w:ascii="Times New Roman" w:hAnsi="Times New Roman" w:eastAsia="Times New Roman" w:cs="Times New Roman"/>
                      <w:color w:val="auto"/>
                      <w:sz w:val="21"/>
                      <w:szCs w:val="21"/>
                    </w:rPr>
                    <w:t>（5）</w:t>
                  </w:r>
                  <w:r>
                    <w:rPr>
                      <w:rFonts w:hint="eastAsia" w:ascii="Times New Roman" w:hAnsi="Times New Roman" w:eastAsia="Times New Roman" w:cs="Times New Roman"/>
                      <w:color w:val="auto"/>
                      <w:sz w:val="21"/>
                      <w:szCs w:val="21"/>
                      <w:lang w:val="zh-CN"/>
                    </w:rPr>
                    <w:t>特别保护期内不得从事捕捞、爆破作业以及其他可能对保护区内生物资源和生态环境造成损害的活动。</w:t>
                  </w:r>
                </w:p>
                <w:p>
                  <w:pPr>
                    <w:pStyle w:val="48"/>
                    <w:keepNext w:val="0"/>
                    <w:keepLines w:val="0"/>
                    <w:suppressLineNumbers w:val="0"/>
                    <w:spacing w:before="0" w:beforeAutospacing="0" w:after="0" w:afterAutospacing="0" w:line="276" w:lineRule="auto"/>
                    <w:ind w:left="0" w:leftChars="0" w:right="0" w:rightChars="0" w:firstLine="0" w:firstLineChars="0"/>
                    <w:jc w:val="center"/>
                    <w:textAlignment w:val="center"/>
                    <w:rPr>
                      <w:rFonts w:hint="eastAsia" w:ascii="Times New Roman" w:hAnsi="Times New Roman" w:eastAsia="Times New Roman" w:cs="Times New Roman"/>
                      <w:color w:val="auto"/>
                      <w:kern w:val="2"/>
                      <w:sz w:val="21"/>
                      <w:szCs w:val="21"/>
                      <w:lang w:val="en-US" w:eastAsia="zh-CN" w:bidi="ar-SA"/>
                    </w:rPr>
                  </w:pPr>
                  <w:r>
                    <w:rPr>
                      <w:rFonts w:hint="eastAsia" w:ascii="Times New Roman" w:hAnsi="Times New Roman" w:eastAsia="Times New Roman" w:cs="Times New Roman"/>
                      <w:color w:val="auto"/>
                      <w:sz w:val="21"/>
                      <w:szCs w:val="21"/>
                    </w:rPr>
                    <w:t>（6）</w:t>
                  </w:r>
                  <w:r>
                    <w:rPr>
                      <w:rFonts w:hint="eastAsia" w:ascii="Times New Roman" w:hAnsi="Times New Roman" w:eastAsia="Times New Roman" w:cs="Times New Roman"/>
                      <w:color w:val="auto"/>
                      <w:sz w:val="21"/>
                      <w:szCs w:val="21"/>
                      <w:lang w:val="zh-CN"/>
                    </w:rPr>
                    <w:t>在水产种质资源保护区内从事修建水利工程、疏浚航道、建闸筑坝、勘探和开采矿产资源、港口建设等工程建设的，或者在水产种质资源保护区外从事可能损害保护区功能的工程建设活动的，应当按照国家有关规定编制建设项目对水产种质资源保护区的影响专题论证报告，并将其纳入环境影响评价报告书。</w:t>
                  </w:r>
                </w:p>
              </w:tc>
              <w:tc>
                <w:tcPr>
                  <w:tcW w:w="1974"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本项目涉及一般生态空间区域，烘干塔和热风炉不在一般生态空间范围内，本项目土地性质为设施农用地，</w:t>
                  </w:r>
                  <w:r>
                    <w:rPr>
                      <w:rFonts w:hint="eastAsia" w:eastAsia="宋体" w:cs="Times New Roman"/>
                      <w:color w:val="auto"/>
                      <w:sz w:val="21"/>
                      <w:szCs w:val="21"/>
                      <w:lang w:val="en-US" w:eastAsia="zh-CN"/>
                    </w:rPr>
                    <w:t>本项目土地用途为建设烘干塔晒场，</w:t>
                  </w:r>
                  <w:r>
                    <w:rPr>
                      <w:rFonts w:hint="eastAsia" w:ascii="Times New Roman" w:hAnsi="Times New Roman" w:eastAsia="宋体" w:cs="Times New Roman"/>
                      <w:color w:val="auto"/>
                      <w:sz w:val="21"/>
                      <w:szCs w:val="21"/>
                      <w:lang w:val="en-US" w:eastAsia="zh-CN"/>
                    </w:rPr>
                    <w:t>本项目为符合条件的农业开发项目，符合管控要求</w:t>
                  </w:r>
                </w:p>
                <w:p>
                  <w:pPr>
                    <w:pStyle w:val="48"/>
                    <w:keepNext w:val="0"/>
                    <w:keepLines w:val="0"/>
                    <w:suppressLineNumbers w:val="0"/>
                    <w:spacing w:before="0" w:beforeAutospacing="0" w:after="0" w:afterAutospacing="0" w:line="276" w:lineRule="auto"/>
                    <w:ind w:left="0" w:leftChars="0" w:right="0" w:rightChars="0" w:firstLine="0" w:firstLineChars="0"/>
                    <w:textAlignment w:val="center"/>
                    <w:rPr>
                      <w:rFonts w:hint="eastAsia" w:ascii="Times New Roman" w:hAnsi="Times New Roman"/>
                      <w:color w:val="auto"/>
                      <w:sz w:val="21"/>
                      <w:szCs w:val="21"/>
                    </w:rPr>
                  </w:pPr>
                  <w:r>
                    <w:rPr>
                      <w:rFonts w:hint="eastAsia" w:ascii="Times New Roman" w:hAnsi="Times New Roman" w:eastAsia="宋体" w:cs="Times New Roman"/>
                      <w:color w:val="auto"/>
                      <w:sz w:val="21"/>
                      <w:szCs w:val="21"/>
                      <w:lang w:val="en-US" w:eastAsia="zh-CN"/>
                    </w:rPr>
                    <w:t>2.本项目不涉及</w:t>
                  </w:r>
                  <w:r>
                    <w:rPr>
                      <w:rFonts w:hint="eastAsia" w:ascii="Times New Roman" w:hAnsi="Times New Roman" w:eastAsia="Times New Roman" w:cs="Times New Roman"/>
                      <w:color w:val="auto"/>
                      <w:sz w:val="21"/>
                      <w:szCs w:val="21"/>
                    </w:rPr>
                    <w:t>嘉荫段黑斑狗鱼雅罗鱼国家级水产种质资源保护区</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760" w:hRule="atLeast"/>
              </w:trPr>
              <w:tc>
                <w:tcPr>
                  <w:tcW w:w="1084"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宋体" w:cs="Times New Roman"/>
                      <w:color w:val="auto"/>
                      <w:kern w:val="0"/>
                      <w:sz w:val="22"/>
                      <w:szCs w:val="22"/>
                      <w:lang w:val="en-US" w:eastAsia="zh-CN" w:bidi="ar"/>
                    </w:rPr>
                    <w:t>ZH23072230002</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default" w:ascii="Times New Roman" w:hAnsi="Times New Roman" w:eastAsia="宋体"/>
                      <w:color w:val="auto"/>
                      <w:sz w:val="21"/>
                      <w:szCs w:val="21"/>
                      <w:lang w:val="en-US" w:eastAsia="zh-CN"/>
                    </w:rPr>
                  </w:pPr>
                </w:p>
              </w:tc>
              <w:tc>
                <w:tcPr>
                  <w:tcW w:w="864"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PingFangSC-Light" w:hAnsi="PingFangSC-Light" w:eastAsia="PingFangSC-Light" w:cs="PingFangSC-Light"/>
                      <w:color w:val="auto"/>
                      <w:kern w:val="0"/>
                      <w:sz w:val="22"/>
                      <w:szCs w:val="22"/>
                      <w:lang w:val="en-US" w:eastAsia="zh-CN" w:bidi="ar"/>
                    </w:rPr>
                    <w:t>嘉荫县其</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default" w:ascii="PingFangSC-Light" w:hAnsi="PingFangSC-Light" w:eastAsia="PingFangSC-Light" w:cs="PingFangSC-Light"/>
                      <w:color w:val="auto"/>
                      <w:kern w:val="0"/>
                      <w:sz w:val="22"/>
                      <w:szCs w:val="22"/>
                      <w:lang w:val="en-US" w:eastAsia="zh-CN" w:bidi="ar"/>
                    </w:rPr>
                    <w:t>他区域</w:t>
                  </w:r>
                </w:p>
              </w:tc>
              <w:tc>
                <w:tcPr>
                  <w:tcW w:w="667"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一般管控单元</w:t>
                  </w:r>
                </w:p>
              </w:tc>
              <w:tc>
                <w:tcPr>
                  <w:tcW w:w="667"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空间布局约束</w:t>
                  </w:r>
                </w:p>
              </w:tc>
              <w:tc>
                <w:tcPr>
                  <w:tcW w:w="2337" w:type="dxa"/>
                  <w:noWrap w:val="0"/>
                  <w:vAlign w:val="center"/>
                </w:tcPr>
                <w:p>
                  <w:pPr>
                    <w:jc w:val="center"/>
                    <w:rPr>
                      <w:rFonts w:hint="eastAsia" w:ascii="Times New Roman" w:hAnsi="Times New Roman" w:eastAsia="Times New Roman" w:cs="Times New Roman"/>
                      <w:color w:val="auto"/>
                      <w:kern w:val="2"/>
                      <w:sz w:val="21"/>
                      <w:szCs w:val="21"/>
                      <w:lang w:val="en-US" w:eastAsia="zh-CN" w:bidi="ar-SA"/>
                    </w:rPr>
                  </w:pPr>
                  <w:r>
                    <w:rPr>
                      <w:rFonts w:hint="eastAsia" w:ascii="Times New Roman" w:hAnsi="Times New Roman" w:eastAsia="Times New Roman" w:cs="Times New Roman"/>
                      <w:color w:val="auto"/>
                      <w:kern w:val="2"/>
                      <w:sz w:val="21"/>
                      <w:szCs w:val="21"/>
                      <w:lang w:val="en-US" w:eastAsia="zh-CN" w:bidi="ar-SA"/>
                    </w:rPr>
                    <w:t>1.引导工业项目向开发区集中，促进产业集聚、资源集约、绿色发展。</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eastAsia="Times New Roman" w:cs="Times New Roman"/>
                      <w:color w:val="auto"/>
                      <w:kern w:val="2"/>
                      <w:sz w:val="21"/>
                      <w:szCs w:val="21"/>
                      <w:lang w:val="en-US" w:eastAsia="zh-CN" w:bidi="ar-SA"/>
                    </w:rPr>
                    <w:t>2.强化节能环保标准约束，严格行业规范、准入管理和节能审查，对电力、钢铁、建材、有色、化工、石油石化、船舶、煤炭、印染、造纸、制革、染料、焦化、电镀等行业中，环保、能耗、安全等不达标或生产、使用淘汰类产品的企业和产能，要依法依规有序退出。</w:t>
                  </w:r>
                </w:p>
              </w:tc>
              <w:tc>
                <w:tcPr>
                  <w:tcW w:w="1974"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default" w:ascii="Times New Roman" w:hAnsi="Times New Roman"/>
                      <w:color w:val="auto"/>
                      <w:sz w:val="21"/>
                      <w:szCs w:val="21"/>
                    </w:rPr>
                  </w:pPr>
                  <w:r>
                    <w:rPr>
                      <w:rFonts w:hint="eastAsia" w:ascii="Times New Roman" w:hAnsi="Times New Roman"/>
                      <w:color w:val="auto"/>
                      <w:sz w:val="21"/>
                      <w:szCs w:val="21"/>
                    </w:rPr>
                    <w:t>1</w:t>
                  </w:r>
                  <w:r>
                    <w:rPr>
                      <w:rFonts w:hint="default" w:ascii="Times New Roman" w:hAnsi="Times New Roman"/>
                      <w:color w:val="auto"/>
                      <w:sz w:val="21"/>
                      <w:szCs w:val="21"/>
                    </w:rPr>
                    <w:t>.</w:t>
                  </w:r>
                  <w:r>
                    <w:rPr>
                      <w:rFonts w:hint="eastAsia" w:eastAsia="宋体"/>
                      <w:color w:val="auto"/>
                      <w:sz w:val="21"/>
                      <w:szCs w:val="21"/>
                      <w:lang w:val="en-US" w:eastAsia="zh-CN"/>
                    </w:rPr>
                    <w:t>本项目主体为农产品初加工项目，</w:t>
                  </w:r>
                  <w:r>
                    <w:rPr>
                      <w:rFonts w:hint="eastAsia" w:ascii="Times New Roman" w:hAnsi="Times New Roman"/>
                      <w:color w:val="auto"/>
                      <w:sz w:val="21"/>
                      <w:szCs w:val="21"/>
                    </w:rPr>
                    <w:t>本项目在采取各项保护措施后，污染物排放能够达到相应的排放标准；本项目符合产业政策，为</w:t>
                  </w:r>
                  <w:r>
                    <w:rPr>
                      <w:rFonts w:hint="eastAsia"/>
                      <w:color w:val="auto"/>
                      <w:sz w:val="21"/>
                      <w:szCs w:val="21"/>
                      <w:lang w:val="en-US" w:eastAsia="zh-CN"/>
                    </w:rPr>
                    <w:t>鼓励</w:t>
                  </w:r>
                  <w:r>
                    <w:rPr>
                      <w:rFonts w:hint="eastAsia" w:ascii="Times New Roman" w:hAnsi="Times New Roman"/>
                      <w:color w:val="auto"/>
                      <w:sz w:val="21"/>
                      <w:szCs w:val="21"/>
                    </w:rPr>
                    <w:t>类项目。</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2</w:t>
                  </w:r>
                  <w:r>
                    <w:rPr>
                      <w:rFonts w:hint="default" w:ascii="Times New Roman" w:hAnsi="Times New Roman"/>
                      <w:color w:val="auto"/>
                      <w:sz w:val="21"/>
                      <w:szCs w:val="21"/>
                    </w:rPr>
                    <w:t>.</w:t>
                  </w:r>
                  <w:r>
                    <w:rPr>
                      <w:rFonts w:hint="eastAsia" w:ascii="Times New Roman" w:hAnsi="Times New Roman"/>
                      <w:color w:val="auto"/>
                      <w:sz w:val="21"/>
                      <w:szCs w:val="21"/>
                    </w:rPr>
                    <w:t>本项目不属于电力、钢铁、建材、有色、化工、石油石化、船舶、煤炭、印染、造纸、制革、染料、焦化、电镀等行业。</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760" w:hRule="atLeast"/>
              </w:trPr>
              <w:tc>
                <w:tcPr>
                  <w:tcW w:w="1084" w:type="dxa"/>
                  <w:noWrap w:val="0"/>
                  <w:vAlign w:val="center"/>
                </w:tcPr>
                <w:p>
                  <w:pPr>
                    <w:pStyle w:val="85"/>
                    <w:keepNext w:val="0"/>
                    <w:keepLines w:val="0"/>
                    <w:suppressLineNumbers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YS2307226310001</w:t>
                  </w:r>
                </w:p>
              </w:tc>
              <w:tc>
                <w:tcPr>
                  <w:tcW w:w="864" w:type="dxa"/>
                  <w:noWrap w:val="0"/>
                  <w:vAlign w:val="center"/>
                </w:tcPr>
                <w:p>
                  <w:pPr>
                    <w:pStyle w:val="85"/>
                    <w:keepNext w:val="0"/>
                    <w:keepLines w:val="0"/>
                    <w:suppressLineNumbers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u w:val="none" w:color="auto"/>
                      <w:lang w:val="en-US" w:eastAsia="zh-CN" w:bidi="ar-SA"/>
                    </w:rPr>
                  </w:pPr>
                  <w:r>
                    <w:rPr>
                      <w:rFonts w:hint="eastAsia" w:ascii="Times New Roman" w:hAnsi="Times New Roman" w:eastAsia="宋体" w:cs="Times New Roman"/>
                      <w:snapToGrid w:val="0"/>
                      <w:color w:val="auto"/>
                      <w:kern w:val="0"/>
                      <w:sz w:val="21"/>
                      <w:szCs w:val="21"/>
                      <w:u w:val="none" w:color="auto"/>
                      <w:lang w:val="en-US" w:eastAsia="zh-CN" w:bidi="ar-SA"/>
                    </w:rPr>
                    <w:t>嘉荫县地下水环境一</w:t>
                  </w:r>
                </w:p>
                <w:p>
                  <w:pPr>
                    <w:pStyle w:val="85"/>
                    <w:keepNext w:val="0"/>
                    <w:keepLines w:val="0"/>
                    <w:suppressLineNumbers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般管控区</w:t>
                  </w:r>
                </w:p>
              </w:tc>
              <w:tc>
                <w:tcPr>
                  <w:tcW w:w="667" w:type="dxa"/>
                  <w:noWrap w:val="0"/>
                  <w:vAlign w:val="center"/>
                </w:tcPr>
                <w:p>
                  <w:pPr>
                    <w:pStyle w:val="85"/>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一般管控区</w:t>
                  </w:r>
                </w:p>
              </w:tc>
              <w:tc>
                <w:tcPr>
                  <w:tcW w:w="667" w:type="dxa"/>
                  <w:noWrap w:val="0"/>
                  <w:vAlign w:val="center"/>
                </w:tcPr>
                <w:p>
                  <w:pPr>
                    <w:pStyle w:val="85"/>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环境风险管控</w:t>
                  </w:r>
                </w:p>
              </w:tc>
              <w:tc>
                <w:tcPr>
                  <w:tcW w:w="2337" w:type="dxa"/>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u w:val="none" w:color="auto"/>
                      <w:lang w:val="en-US" w:eastAsia="zh-CN" w:bidi="ar-SA"/>
                    </w:rPr>
                  </w:pPr>
                  <w:r>
                    <w:rPr>
                      <w:rFonts w:hint="eastAsia" w:ascii="Times New Roman" w:hAnsi="Times New Roman" w:eastAsia="宋体" w:cs="Times New Roman"/>
                      <w:snapToGrid w:val="0"/>
                      <w:color w:val="auto"/>
                      <w:kern w:val="0"/>
                      <w:sz w:val="21"/>
                      <w:szCs w:val="21"/>
                      <w:u w:val="none" w:color="auto"/>
                      <w:lang w:val="en-US" w:eastAsia="zh-CN" w:bidi="ar-SA"/>
                    </w:rPr>
                    <w:t>1.土壤污染重点监管单位应当履行下列义务：（一）严格控</w:t>
                  </w:r>
                </w:p>
                <w:p>
                  <w:pPr>
                    <w:keepNext w:val="0"/>
                    <w:keepLines w:val="0"/>
                    <w:suppressLineNumbers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制有毒有害物质排放，并按年度向生态环境主管部门报告排放情况；（二）建立土壤污染隐患排查制度，保证持续有效防止有毒有害物质渗漏、流失、扬散；（三）制定、实施自行监测方案，并将监测数据报生态环境主管部门。 2.重点单位新、改、扩建项目地下储罐储存有毒有害物质的，应当在项目投入生产或者使用之前，将地下储罐的信息报所在地设区的市级生态环境主管部门备案。 3.重点单位应当建立土壤和地下水污染隐患排查治理制度，定期对重点区域、重点设施开展隐患排查。发现污染隐患的，应当制定整改方案，及时采取技术、管理措施消除隐患。隐患排查、治理情况应当如实记录并建立档案。重点区域包括涉及有毒有害物质的生产区，原材料及固体废物的堆存区、储放区和转运区等；重点设施包括涉及有毒有害物质的地下储罐、地下管线，以及污染治理设施等。4.化学品生产企业以及工业集聚区、矿山开采区、尾矿库、危险废物处置场、垃圾填埋场等的运营、管理单位，应当采取防渗漏等措施，并建设地下水水质监测井进行监测，防止地下水污染。5.重点单位通过新、改、扩建项目的土壤和地下水环境现状调查，发现项目用地污染物含量超过国家或者地方有关建设用地土壤污染风险管控标准的，土地使用权人或者污染责任人应当参照污染地块土壤环境管理有关规定开展详细调查、风险评估、风险管控、治理与修复等活动。</w:t>
                  </w:r>
                </w:p>
              </w:tc>
              <w:tc>
                <w:tcPr>
                  <w:tcW w:w="1974" w:type="dxa"/>
                  <w:noWrap w:val="0"/>
                  <w:vAlign w:val="center"/>
                </w:tcPr>
                <w:p>
                  <w:pPr>
                    <w:keepNext w:val="0"/>
                    <w:keepLines w:val="0"/>
                    <w:numPr>
                      <w:ilvl w:val="0"/>
                      <w:numId w:val="0"/>
                    </w:numPr>
                    <w:suppressLineNumbers w:val="0"/>
                    <w:autoSpaceDE w:val="0"/>
                    <w:autoSpaceDN w:val="0"/>
                    <w:adjustRightInd w:val="0"/>
                    <w:spacing w:before="0" w:beforeAutospacing="0" w:after="0" w:afterAutospacing="0"/>
                    <w:ind w:left="0" w:leftChars="0" w:right="0" w:rightChars="0"/>
                    <w:jc w:val="center"/>
                    <w:rPr>
                      <w:rFonts w:hint="eastAsia" w:cs="Times New Roman"/>
                      <w:snapToGrid w:val="0"/>
                      <w:color w:val="auto"/>
                      <w:kern w:val="0"/>
                      <w:sz w:val="21"/>
                      <w:szCs w:val="21"/>
                      <w:u w:val="none" w:color="auto"/>
                      <w:lang w:val="en-US" w:eastAsia="zh-CN" w:bidi="ar-SA"/>
                    </w:rPr>
                  </w:pPr>
                  <w:r>
                    <w:rPr>
                      <w:rFonts w:hint="eastAsia" w:ascii="Times New Roman" w:hAnsi="Times New Roman" w:eastAsia="宋体" w:cs="Times New Roman"/>
                      <w:snapToGrid w:val="0"/>
                      <w:color w:val="auto"/>
                      <w:kern w:val="0"/>
                      <w:sz w:val="21"/>
                      <w:szCs w:val="21"/>
                      <w:u w:color="auto"/>
                      <w:lang w:val="en-US" w:eastAsia="zh-CN" w:bidi="ar-SA"/>
                    </w:rPr>
                    <w:t>1.</w:t>
                  </w:r>
                  <w:r>
                    <w:rPr>
                      <w:rFonts w:hint="eastAsia" w:cs="Times New Roman"/>
                      <w:snapToGrid w:val="0"/>
                      <w:color w:val="auto"/>
                      <w:kern w:val="0"/>
                      <w:sz w:val="21"/>
                      <w:szCs w:val="21"/>
                      <w:u w:val="none" w:color="auto"/>
                      <w:lang w:val="en-US" w:eastAsia="zh-CN" w:bidi="ar-SA"/>
                    </w:rPr>
                    <w:t>本项目不属于土壤污染重点监管单位</w:t>
                  </w:r>
                </w:p>
                <w:p>
                  <w:pPr>
                    <w:pStyle w:val="2"/>
                    <w:keepNext w:val="0"/>
                    <w:keepLines w:val="0"/>
                    <w:numPr>
                      <w:ilvl w:val="0"/>
                      <w:numId w:val="0"/>
                    </w:numPr>
                    <w:suppressLineNumbers w:val="0"/>
                    <w:spacing w:before="0" w:beforeAutospacing="0" w:after="0" w:afterAutospacing="0"/>
                    <w:ind w:right="0"/>
                    <w:jc w:val="center"/>
                    <w:rPr>
                      <w:rFonts w:hint="eastAsia" w:cs="Times New Roman"/>
                      <w:snapToGrid w:val="0"/>
                      <w:color w:val="auto"/>
                      <w:kern w:val="0"/>
                      <w:sz w:val="21"/>
                      <w:szCs w:val="21"/>
                      <w:u w:val="none" w:color="auto"/>
                      <w:lang w:val="en-US" w:eastAsia="zh-CN" w:bidi="ar-SA"/>
                    </w:rPr>
                  </w:pPr>
                  <w:r>
                    <w:rPr>
                      <w:rFonts w:hint="eastAsia"/>
                      <w:color w:val="auto"/>
                      <w:sz w:val="21"/>
                      <w:szCs w:val="21"/>
                      <w:lang w:val="en-US" w:eastAsia="zh-CN"/>
                    </w:rPr>
                    <w:t>2.本项目不属于</w:t>
                  </w:r>
                  <w:r>
                    <w:rPr>
                      <w:rFonts w:hint="eastAsia" w:cs="Times New Roman"/>
                      <w:snapToGrid w:val="0"/>
                      <w:color w:val="auto"/>
                      <w:kern w:val="0"/>
                      <w:sz w:val="21"/>
                      <w:szCs w:val="21"/>
                      <w:u w:val="none" w:color="auto"/>
                      <w:lang w:val="en-US" w:eastAsia="zh-CN" w:bidi="ar-SA"/>
                    </w:rPr>
                    <w:t>土壤污染重点监管单位</w:t>
                  </w:r>
                </w:p>
                <w:p>
                  <w:pPr>
                    <w:keepNext w:val="0"/>
                    <w:keepLines w:val="0"/>
                    <w:suppressLineNumbers w:val="0"/>
                    <w:spacing w:before="0" w:beforeAutospacing="0" w:after="0" w:afterAutospacing="0"/>
                    <w:ind w:left="0" w:right="0"/>
                    <w:jc w:val="center"/>
                    <w:rPr>
                      <w:rFonts w:hint="eastAsia" w:cs="Times New Roman"/>
                      <w:snapToGrid w:val="0"/>
                      <w:color w:val="auto"/>
                      <w:kern w:val="0"/>
                      <w:sz w:val="21"/>
                      <w:szCs w:val="21"/>
                      <w:u w:val="none" w:color="auto"/>
                      <w:lang w:val="en-US" w:eastAsia="zh-CN" w:bidi="ar-SA"/>
                    </w:rPr>
                  </w:pPr>
                  <w:r>
                    <w:rPr>
                      <w:rFonts w:hint="eastAsia" w:cs="Times New Roman"/>
                      <w:snapToGrid w:val="0"/>
                      <w:color w:val="auto"/>
                      <w:kern w:val="0"/>
                      <w:sz w:val="21"/>
                      <w:szCs w:val="21"/>
                      <w:u w:val="none" w:color="auto"/>
                      <w:lang w:val="en-US" w:eastAsia="zh-CN" w:bidi="ar-SA"/>
                    </w:rPr>
                    <w:t>3.土壤污染重点监管单位</w:t>
                  </w:r>
                </w:p>
                <w:p>
                  <w:pPr>
                    <w:pStyle w:val="2"/>
                    <w:keepNext w:val="0"/>
                    <w:keepLines w:val="0"/>
                    <w:suppressLineNumbers w:val="0"/>
                    <w:spacing w:before="0" w:beforeAutospacing="0" w:after="0" w:afterAutospacing="0"/>
                    <w:ind w:left="0" w:leftChars="0" w:right="0" w:firstLine="0" w:firstLineChars="0"/>
                    <w:jc w:val="center"/>
                    <w:rPr>
                      <w:rFonts w:hint="eastAsia" w:cs="Times New Roman"/>
                      <w:snapToGrid w:val="0"/>
                      <w:color w:val="auto"/>
                      <w:kern w:val="0"/>
                      <w:sz w:val="21"/>
                      <w:szCs w:val="21"/>
                      <w:u w:val="none" w:color="auto"/>
                      <w:lang w:val="en-US" w:eastAsia="zh-CN" w:bidi="ar-SA"/>
                    </w:rPr>
                  </w:pPr>
                  <w:r>
                    <w:rPr>
                      <w:rFonts w:hint="eastAsia" w:cs="Times New Roman"/>
                      <w:snapToGrid w:val="0"/>
                      <w:color w:val="auto"/>
                      <w:kern w:val="0"/>
                      <w:sz w:val="21"/>
                      <w:szCs w:val="21"/>
                      <w:u w:val="none" w:color="auto"/>
                      <w:lang w:val="en-US" w:eastAsia="zh-CN" w:bidi="ar-SA"/>
                    </w:rPr>
                    <w:t>4.本项目不属于化学品生产企业以及工业集聚区、矿山开采区、尾矿库、危险废物处置场、垃圾填埋场等</w:t>
                  </w:r>
                </w:p>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lang w:val="en-US" w:eastAsia="zh-CN"/>
                    </w:rPr>
                  </w:pPr>
                  <w:r>
                    <w:rPr>
                      <w:rFonts w:hint="eastAsia" w:cs="Times New Roman"/>
                      <w:snapToGrid w:val="0"/>
                      <w:color w:val="auto"/>
                      <w:kern w:val="0"/>
                      <w:sz w:val="21"/>
                      <w:szCs w:val="21"/>
                      <w:u w:val="none" w:color="auto"/>
                      <w:lang w:val="en-US" w:eastAsia="zh-CN" w:bidi="ar-SA"/>
                    </w:rPr>
                    <w:t>5.</w:t>
                  </w:r>
                  <w:r>
                    <w:rPr>
                      <w:rFonts w:hint="eastAsia"/>
                      <w:color w:val="auto"/>
                      <w:sz w:val="21"/>
                      <w:szCs w:val="21"/>
                      <w:lang w:val="en-US" w:eastAsia="zh-CN"/>
                    </w:rPr>
                    <w:t>本项目不属于</w:t>
                  </w:r>
                  <w:r>
                    <w:rPr>
                      <w:rFonts w:hint="eastAsia" w:cs="Times New Roman"/>
                      <w:snapToGrid w:val="0"/>
                      <w:color w:val="auto"/>
                      <w:kern w:val="0"/>
                      <w:sz w:val="21"/>
                      <w:szCs w:val="21"/>
                      <w:u w:val="none" w:color="auto"/>
                      <w:lang w:val="en-US" w:eastAsia="zh-CN" w:bidi="ar-SA"/>
                    </w:rPr>
                    <w:t>土壤污染重点监管单位</w:t>
                  </w:r>
                </w:p>
              </w:tc>
            </w:tr>
          </w:tbl>
          <w:p>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hint="eastAsia"/>
                <w:snapToGrid w:val="0"/>
                <w:color w:val="auto"/>
                <w:kern w:val="0"/>
                <w:sz w:val="24"/>
                <w:lang w:val="en-US" w:eastAsia="zh-CN"/>
              </w:rPr>
            </w:pPr>
            <w:r>
              <w:rPr>
                <w:rFonts w:hint="eastAsia"/>
                <w:snapToGrid w:val="0"/>
                <w:color w:val="auto"/>
                <w:kern w:val="0"/>
                <w:sz w:val="24"/>
                <w:lang w:val="en-US" w:eastAsia="zh-CN"/>
              </w:rPr>
              <w:t>③一说明</w:t>
            </w:r>
          </w:p>
          <w:p>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hint="default" w:ascii="Times New Roman" w:hAnsi="Times New Roman" w:cs="Times New Roman"/>
                <w:snapToGrid w:val="0"/>
                <w:color w:val="auto"/>
                <w:kern w:val="0"/>
                <w:sz w:val="24"/>
                <w:szCs w:val="24"/>
                <w:highlight w:val="none"/>
              </w:rPr>
            </w:pPr>
            <w:r>
              <w:rPr>
                <w:rFonts w:hint="default" w:ascii="Times New Roman" w:hAnsi="Times New Roman" w:cs="Times New Roman"/>
                <w:snapToGrid w:val="0"/>
                <w:color w:val="auto"/>
                <w:kern w:val="0"/>
                <w:sz w:val="24"/>
                <w:szCs w:val="24"/>
                <w:highlight w:val="none"/>
              </w:rPr>
              <w:t>本项目</w:t>
            </w:r>
            <w:r>
              <w:rPr>
                <w:rFonts w:hint="eastAsia" w:cs="Times New Roman"/>
                <w:snapToGrid w:val="0"/>
                <w:color w:val="auto"/>
                <w:kern w:val="0"/>
                <w:sz w:val="24"/>
                <w:szCs w:val="24"/>
                <w:highlight w:val="none"/>
                <w:lang w:eastAsia="zh-CN"/>
              </w:rPr>
              <w:t>选址</w:t>
            </w:r>
            <w:r>
              <w:rPr>
                <w:rFonts w:hint="default" w:ascii="Times New Roman" w:hAnsi="Times New Roman" w:cs="Times New Roman"/>
                <w:snapToGrid w:val="0"/>
                <w:color w:val="auto"/>
                <w:kern w:val="0"/>
                <w:sz w:val="24"/>
                <w:szCs w:val="24"/>
                <w:highlight w:val="none"/>
              </w:rPr>
              <w:t>位于</w:t>
            </w:r>
            <w:r>
              <w:rPr>
                <w:rFonts w:hint="eastAsia" w:cs="Times New Roman"/>
                <w:color w:val="auto"/>
                <w:kern w:val="0"/>
                <w:sz w:val="24"/>
                <w:szCs w:val="24"/>
                <w:highlight w:val="none"/>
                <w:lang w:val="en-US" w:eastAsia="zh-CN"/>
              </w:rPr>
              <w:t>伊春市嘉荫县嘉荫农场第一管理区第三作业点</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cs="Times New Roman"/>
                <w:snapToGrid w:val="0"/>
                <w:color w:val="auto"/>
                <w:kern w:val="0"/>
                <w:sz w:val="24"/>
                <w:szCs w:val="24"/>
                <w:highlight w:val="none"/>
              </w:rPr>
              <w:t>本项目选址占地性质为</w:t>
            </w:r>
            <w:r>
              <w:rPr>
                <w:rFonts w:hint="eastAsia" w:cs="Times New Roman"/>
                <w:snapToGrid w:val="0"/>
                <w:color w:val="auto"/>
                <w:kern w:val="0"/>
                <w:sz w:val="24"/>
                <w:szCs w:val="24"/>
                <w:highlight w:val="none"/>
                <w:lang w:val="en-US" w:eastAsia="zh-CN"/>
              </w:rPr>
              <w:t>设施农</w:t>
            </w:r>
            <w:r>
              <w:rPr>
                <w:rFonts w:hint="default" w:ascii="Times New Roman" w:hAnsi="Times New Roman" w:cs="Times New Roman"/>
                <w:snapToGrid w:val="0"/>
                <w:color w:val="auto"/>
                <w:kern w:val="0"/>
                <w:sz w:val="24"/>
                <w:szCs w:val="24"/>
                <w:highlight w:val="none"/>
                <w:lang w:eastAsia="zh-CN"/>
              </w:rPr>
              <w:t>用地</w:t>
            </w:r>
            <w:r>
              <w:rPr>
                <w:rFonts w:hint="default" w:ascii="Times New Roman" w:hAnsi="Times New Roman" w:cs="Times New Roman"/>
                <w:snapToGrid w:val="0"/>
                <w:color w:val="auto"/>
                <w:kern w:val="0"/>
                <w:sz w:val="24"/>
                <w:szCs w:val="24"/>
                <w:highlight w:val="none"/>
              </w:rPr>
              <w:t>，并采取了有效、可行的污染治理措施，各项污染物均可达标排放，本项目建设对周围环境影响较小，因此本项目符合</w:t>
            </w:r>
            <w:r>
              <w:rPr>
                <w:rFonts w:hint="eastAsia" w:ascii="Times New Roman" w:hAnsi="Times New Roman" w:cs="Times New Roman"/>
                <w:color w:val="auto"/>
                <w:kern w:val="0"/>
                <w:sz w:val="24"/>
                <w:szCs w:val="24"/>
                <w:highlight w:val="none"/>
              </w:rPr>
              <w:t>《伊春市人民政府关于实施“三线一单”生态环境分区管控意见》伊政规〔2021〕6号</w:t>
            </w:r>
            <w:r>
              <w:rPr>
                <w:rFonts w:hint="default" w:ascii="Times New Roman" w:hAnsi="Times New Roman" w:cs="Times New Roman"/>
                <w:snapToGrid w:val="0"/>
                <w:color w:val="auto"/>
                <w:kern w:val="0"/>
                <w:sz w:val="24"/>
                <w:szCs w:val="24"/>
                <w:highlight w:val="none"/>
              </w:rPr>
              <w:t>以及</w:t>
            </w:r>
            <w:r>
              <w:rPr>
                <w:rFonts w:hint="default" w:ascii="Times New Roman" w:hAnsi="Times New Roman" w:eastAsia="宋体" w:cs="Times New Roman"/>
                <w:color w:val="auto"/>
                <w:sz w:val="24"/>
                <w:lang w:val="en-US" w:eastAsia="zh-CN"/>
              </w:rPr>
              <w:t>伊春市生态环境准入清单（2023年版）</w:t>
            </w:r>
            <w:r>
              <w:rPr>
                <w:rFonts w:hint="default" w:ascii="Times New Roman" w:hAnsi="Times New Roman" w:cs="Times New Roman"/>
                <w:snapToGrid w:val="0"/>
                <w:color w:val="auto"/>
                <w:kern w:val="0"/>
                <w:sz w:val="24"/>
                <w:szCs w:val="24"/>
                <w:highlight w:val="none"/>
              </w:rPr>
              <w:t>中要求。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bidi="ar-SA"/>
              </w:rPr>
              <w:t>2、</w:t>
            </w:r>
            <w:r>
              <w:rPr>
                <w:rFonts w:hint="default" w:ascii="Times New Roman" w:hAnsi="Times New Roman" w:cs="Times New Roman"/>
                <w:color w:val="auto"/>
                <w:kern w:val="0"/>
                <w:sz w:val="24"/>
                <w:szCs w:val="24"/>
                <w:lang w:val="en-US" w:eastAsia="zh-CN"/>
              </w:rPr>
              <w:t>产业政策符合性分析：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根据</w:t>
            </w:r>
            <w:r>
              <w:rPr>
                <w:rFonts w:hint="eastAsia" w:cs="Times New Roman"/>
                <w:color w:val="auto"/>
                <w:kern w:val="0"/>
                <w:sz w:val="24"/>
                <w:szCs w:val="24"/>
                <w:lang w:val="en-US" w:eastAsia="zh-CN"/>
              </w:rPr>
              <w:t>《产业结构调整指导目录(2024年本)》</w:t>
            </w:r>
            <w:r>
              <w:rPr>
                <w:rFonts w:hint="default" w:ascii="Times New Roman" w:hAnsi="Times New Roman" w:cs="Times New Roman"/>
                <w:color w:val="auto"/>
                <w:kern w:val="0"/>
                <w:sz w:val="24"/>
                <w:szCs w:val="24"/>
                <w:lang w:val="en-US" w:eastAsia="zh-CN"/>
              </w:rPr>
              <w:t xml:space="preserve">，本项目属于第一类 鼓励类中一、农林业 </w:t>
            </w:r>
            <w:r>
              <w:rPr>
                <w:rFonts w:hint="eastAsia" w:cs="Times New Roman"/>
                <w:color w:val="auto"/>
                <w:kern w:val="0"/>
                <w:sz w:val="24"/>
                <w:szCs w:val="24"/>
                <w:lang w:val="en-US" w:eastAsia="zh-CN"/>
              </w:rPr>
              <w:t>8.</w:t>
            </w:r>
            <w:r>
              <w:rPr>
                <w:rFonts w:hint="default" w:ascii="Times New Roman" w:hAnsi="Times New Roman" w:cs="Times New Roman"/>
                <w:color w:val="auto"/>
                <w:kern w:val="0"/>
                <w:sz w:val="24"/>
                <w:szCs w:val="24"/>
                <w:lang w:val="en-US" w:eastAsia="zh-CN"/>
              </w:rPr>
              <w:t>农林牧渔产品储运、保鲜、加工与综合利用，因此本项目的建设符合国家产业政策。</w:t>
            </w:r>
            <w:r>
              <w:rPr>
                <w:rFonts w:hint="eastAsia"/>
                <w:color w:val="auto"/>
                <w:sz w:val="24"/>
                <w:lang w:val="en-US" w:eastAsia="zh-CN"/>
              </w:rPr>
              <w:t>本项目热风炉为720万</w:t>
            </w:r>
            <w:r>
              <w:rPr>
                <w:rFonts w:hint="default" w:ascii="Times New Roman" w:hAnsi="Times New Roman" w:eastAsia="宋体" w:cs="Times New Roman"/>
                <w:color w:val="auto"/>
                <w:sz w:val="24"/>
                <w:szCs w:val="24"/>
                <w:lang w:val="en-US" w:eastAsia="zh-CN"/>
              </w:rPr>
              <w:t>kcal/h</w:t>
            </w:r>
            <w:r>
              <w:rPr>
                <w:rFonts w:hint="eastAsia"/>
                <w:color w:val="auto"/>
                <w:sz w:val="24"/>
                <w:lang w:val="en-US" w:eastAsia="zh-CN"/>
              </w:rPr>
              <w:t>燃生物质热风炉，不属于淘汰类设备，因此本</w:t>
            </w:r>
            <w:r>
              <w:rPr>
                <w:color w:val="auto"/>
                <w:sz w:val="24"/>
              </w:rPr>
              <w:t>项目建设符合国家产业政策。</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lang w:val="en-US" w:eastAsia="zh-CN" w:bidi="ar-SA"/>
              </w:rPr>
              <w:t>3、</w:t>
            </w:r>
            <w:r>
              <w:rPr>
                <w:rFonts w:hint="default" w:ascii="Times New Roman" w:hAnsi="Times New Roman" w:cs="Times New Roman"/>
                <w:color w:val="auto"/>
                <w:kern w:val="0"/>
                <w:sz w:val="24"/>
                <w:szCs w:val="24"/>
                <w:highlight w:val="none"/>
                <w:lang w:val="en-US" w:eastAsia="zh-CN"/>
              </w:rPr>
              <w:t>选址合理性分析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color w:val="auto"/>
                <w:sz w:val="24"/>
                <w:szCs w:val="24"/>
                <w:highlight w:val="yellow"/>
                <w:lang w:val="en-US" w:eastAsia="zh-CN"/>
              </w:rPr>
            </w:pPr>
            <w:r>
              <w:rPr>
                <w:rFonts w:hint="default" w:ascii="Times New Roman" w:hAnsi="Times New Roman" w:cs="Times New Roman"/>
                <w:color w:val="auto"/>
                <w:sz w:val="24"/>
                <w:szCs w:val="24"/>
                <w:highlight w:val="none"/>
                <w:lang w:val="en-US" w:eastAsia="zh-CN"/>
              </w:rPr>
              <w:t>本项目位于黑龙江省</w:t>
            </w:r>
            <w:r>
              <w:rPr>
                <w:rFonts w:hint="eastAsia" w:cs="Times New Roman"/>
                <w:color w:val="auto"/>
                <w:sz w:val="24"/>
                <w:szCs w:val="24"/>
                <w:highlight w:val="none"/>
                <w:lang w:val="en-US" w:eastAsia="zh-CN"/>
              </w:rPr>
              <w:t>伊春市嘉荫县嘉荫农场第一管理区第三作业点</w:t>
            </w:r>
            <w:r>
              <w:rPr>
                <w:rFonts w:hint="default" w:ascii="Times New Roman" w:hAnsi="Times New Roman" w:eastAsia="宋体" w:cs="Times New Roman"/>
                <w:color w:val="auto"/>
                <w:kern w:val="2"/>
                <w:sz w:val="24"/>
                <w:szCs w:val="24"/>
                <w:highlight w:val="none"/>
                <w:lang w:val="en-US" w:eastAsia="zh-CN" w:bidi="ar"/>
              </w:rPr>
              <w:t>，用地性质为</w:t>
            </w:r>
            <w:r>
              <w:rPr>
                <w:rFonts w:hint="eastAsia" w:cs="Times New Roman"/>
                <w:color w:val="auto"/>
                <w:kern w:val="2"/>
                <w:sz w:val="24"/>
                <w:szCs w:val="24"/>
                <w:highlight w:val="none"/>
                <w:lang w:val="en-US" w:eastAsia="zh-CN" w:bidi="ar"/>
              </w:rPr>
              <w:t>设施农</w:t>
            </w:r>
            <w:r>
              <w:rPr>
                <w:rFonts w:hint="default" w:ascii="Times New Roman" w:hAnsi="Times New Roman" w:eastAsia="宋体" w:cs="Times New Roman"/>
                <w:color w:val="auto"/>
                <w:kern w:val="2"/>
                <w:sz w:val="24"/>
                <w:szCs w:val="24"/>
                <w:highlight w:val="none"/>
                <w:lang w:val="en-US" w:eastAsia="zh-CN" w:bidi="ar"/>
              </w:rPr>
              <w:t>用地，行业类别与用地性质相符</w:t>
            </w:r>
            <w:r>
              <w:rPr>
                <w:rFonts w:hint="eastAsia" w:ascii="Times New Roman" w:hAnsi="Times New Roman" w:eastAsia="宋体" w:cs="Times New Roman"/>
                <w:color w:val="auto"/>
                <w:kern w:val="2"/>
                <w:sz w:val="24"/>
                <w:szCs w:val="24"/>
                <w:highlight w:val="none"/>
                <w:lang w:val="en-US" w:eastAsia="zh-CN" w:bidi="ar"/>
              </w:rPr>
              <w:t>，土地相关文件见附件2，项目</w:t>
            </w:r>
            <w:r>
              <w:rPr>
                <w:rFonts w:hint="default" w:ascii="Times New Roman" w:hAnsi="Times New Roman" w:eastAsia="宋体" w:cs="Times New Roman"/>
                <w:color w:val="auto"/>
                <w:kern w:val="2"/>
                <w:sz w:val="24"/>
                <w:szCs w:val="24"/>
                <w:highlight w:val="none"/>
                <w:lang w:val="en-US" w:eastAsia="zh-CN" w:bidi="ar-SA"/>
              </w:rPr>
              <w:t>北侧为</w:t>
            </w:r>
            <w:r>
              <w:rPr>
                <w:rFonts w:hint="eastAsia" w:cs="Times New Roman"/>
                <w:color w:val="auto"/>
                <w:kern w:val="2"/>
                <w:sz w:val="24"/>
                <w:szCs w:val="24"/>
                <w:highlight w:val="none"/>
                <w:lang w:val="en-US" w:eastAsia="zh-CN" w:bidi="ar-SA"/>
              </w:rPr>
              <w:t>耕地</w:t>
            </w:r>
            <w:r>
              <w:rPr>
                <w:rFonts w:hint="default" w:ascii="Times New Roman" w:hAnsi="Times New Roman" w:eastAsia="宋体" w:cs="Times New Roman"/>
                <w:color w:val="auto"/>
                <w:kern w:val="2"/>
                <w:sz w:val="24"/>
                <w:szCs w:val="24"/>
                <w:highlight w:val="none"/>
                <w:lang w:val="en-US" w:eastAsia="zh-CN" w:bidi="ar-SA"/>
              </w:rPr>
              <w:t>，西侧为</w:t>
            </w:r>
            <w:r>
              <w:rPr>
                <w:rFonts w:hint="eastAsia" w:cs="Times New Roman"/>
                <w:color w:val="auto"/>
                <w:kern w:val="2"/>
                <w:sz w:val="24"/>
                <w:szCs w:val="24"/>
                <w:highlight w:val="none"/>
                <w:lang w:val="en-US" w:eastAsia="zh-CN" w:bidi="ar-SA"/>
              </w:rPr>
              <w:t>空地</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南侧为</w:t>
            </w:r>
            <w:r>
              <w:rPr>
                <w:rFonts w:hint="eastAsia" w:cs="Times New Roman"/>
                <w:color w:val="auto"/>
                <w:kern w:val="2"/>
                <w:sz w:val="24"/>
                <w:szCs w:val="24"/>
                <w:highlight w:val="none"/>
                <w:lang w:val="en-US" w:eastAsia="zh-CN" w:bidi="ar-SA"/>
              </w:rPr>
              <w:t>G331国道</w:t>
            </w:r>
            <w:r>
              <w:rPr>
                <w:rFonts w:hint="eastAsia" w:ascii="Times New Roman" w:hAnsi="Times New Roman" w:eastAsia="宋体" w:cs="Times New Roman"/>
                <w:color w:val="auto"/>
                <w:kern w:val="2"/>
                <w:sz w:val="24"/>
                <w:szCs w:val="24"/>
                <w:highlight w:val="none"/>
                <w:lang w:val="en-US" w:eastAsia="zh-CN" w:bidi="ar-SA"/>
              </w:rPr>
              <w:t>，东侧为</w:t>
            </w:r>
            <w:r>
              <w:rPr>
                <w:rFonts w:hint="eastAsia" w:cs="Times New Roman"/>
                <w:color w:val="auto"/>
                <w:kern w:val="2"/>
                <w:sz w:val="24"/>
                <w:szCs w:val="24"/>
                <w:highlight w:val="none"/>
                <w:lang w:val="en-US" w:eastAsia="zh-CN" w:bidi="ar-SA"/>
              </w:rPr>
              <w:t>水池</w:t>
            </w:r>
            <w:r>
              <w:rPr>
                <w:rFonts w:hint="eastAsia"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sz w:val="24"/>
                <w:szCs w:val="24"/>
                <w:highlight w:val="none"/>
                <w:lang w:val="en-US" w:eastAsia="zh-CN"/>
              </w:rPr>
              <w:t>本</w:t>
            </w:r>
            <w:r>
              <w:rPr>
                <w:rFonts w:hint="eastAsia" w:cs="Times New Roman"/>
                <w:color w:val="auto"/>
                <w:sz w:val="24"/>
                <w:szCs w:val="24"/>
                <w:highlight w:val="none"/>
                <w:lang w:val="en-US" w:eastAsia="zh-CN"/>
              </w:rPr>
              <w:t>项目</w:t>
            </w:r>
            <w:r>
              <w:rPr>
                <w:rFonts w:hint="eastAsia" w:ascii="Times New Roman" w:hAnsi="Times New Roman" w:eastAsia="宋体" w:cs="Times New Roman"/>
                <w:color w:val="auto"/>
                <w:sz w:val="24"/>
                <w:szCs w:val="24"/>
                <w:highlight w:val="none"/>
                <w:lang w:val="en-US" w:eastAsia="zh-CN"/>
              </w:rPr>
              <w:t>生物质热风炉</w:t>
            </w:r>
            <w:r>
              <w:rPr>
                <w:rFonts w:hint="eastAsia" w:cs="Times New Roman"/>
                <w:color w:val="auto"/>
                <w:sz w:val="24"/>
                <w:szCs w:val="24"/>
                <w:highlight w:val="none"/>
                <w:lang w:val="en-US" w:eastAsia="zh-CN"/>
              </w:rPr>
              <w:t>采用低氮燃烧技术，</w:t>
            </w:r>
            <w:r>
              <w:rPr>
                <w:rFonts w:hint="eastAsia" w:ascii="Times New Roman" w:hAnsi="Times New Roman" w:eastAsia="宋体" w:cs="Times New Roman"/>
                <w:color w:val="auto"/>
                <w:sz w:val="24"/>
                <w:szCs w:val="24"/>
                <w:highlight w:val="none"/>
                <w:lang w:val="en-US" w:eastAsia="zh-CN"/>
              </w:rPr>
              <w:t>烟气经除尘效率为99%的布袋除尘器处理后经15m高烟囱排放，颗粒物排放浓度满足《工业炉窑大气污染物排放标准》（GB9078-1996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w:t>
            </w:r>
            <w:r>
              <w:rPr>
                <w:rFonts w:hint="eastAsia"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二级标准，SO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排放浓度满足《工业炉窑大气污染物排放标准》（GB9078-1996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w:t>
            </w:r>
            <w:r>
              <w:rPr>
                <w:rFonts w:hint="eastAsia"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lang w:val="en-US" w:eastAsia="zh-CN"/>
              </w:rPr>
              <w:t>二级标准。烟气黑度满足《工业炉窑大气污染物排放标准》（GB9078-1996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w:t>
            </w:r>
            <w:r>
              <w:rPr>
                <w:rFonts w:hint="eastAsia"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二级标准。粮食烘干、筛选、装卸、输送生产过程中采取仓库密闭、减小装卸高度</w:t>
            </w:r>
            <w:r>
              <w:rPr>
                <w:rFonts w:hint="eastAsia" w:cs="Times New Roman"/>
                <w:color w:val="auto"/>
                <w:sz w:val="24"/>
                <w:szCs w:val="24"/>
                <w:highlight w:val="none"/>
                <w:lang w:val="en-US" w:eastAsia="zh-CN"/>
              </w:rPr>
              <w:t>等措施；</w:t>
            </w:r>
            <w:r>
              <w:rPr>
                <w:rFonts w:hint="eastAsia" w:ascii="Times New Roman" w:hAnsi="Times New Roman" w:eastAsia="宋体" w:cs="Times New Roman"/>
                <w:color w:val="auto"/>
                <w:sz w:val="24"/>
                <w:szCs w:val="24"/>
                <w:highlight w:val="none"/>
                <w:lang w:val="en-US" w:eastAsia="zh-CN"/>
              </w:rPr>
              <w:t>清理筛</w:t>
            </w:r>
            <w:r>
              <w:rPr>
                <w:rFonts w:hint="eastAsia" w:cs="Times New Roman"/>
                <w:color w:val="auto"/>
                <w:sz w:val="24"/>
                <w:szCs w:val="24"/>
                <w:highlight w:val="none"/>
                <w:lang w:val="en-US" w:eastAsia="zh-CN"/>
              </w:rPr>
              <w:t>采用封闭式清理筛</w:t>
            </w:r>
            <w:r>
              <w:rPr>
                <w:rFonts w:hint="eastAsia" w:ascii="Times New Roman" w:hAnsi="Times New Roman" w:eastAsia="宋体" w:cs="Times New Roman"/>
                <w:color w:val="auto"/>
                <w:sz w:val="24"/>
                <w:szCs w:val="24"/>
                <w:highlight w:val="none"/>
                <w:lang w:val="en-US" w:eastAsia="zh-CN"/>
              </w:rPr>
              <w:t>，烘干塔烘干废气经折流挡板和塔顶排气孔滤尘网过滤后排放；采取措施后厂区内污染物排放量小，对环境空气影响较小，</w:t>
            </w:r>
            <w:r>
              <w:rPr>
                <w:rFonts w:hint="default" w:ascii="Times New Roman" w:hAnsi="Times New Roman" w:cs="Times New Roman"/>
                <w:color w:val="auto"/>
                <w:sz w:val="24"/>
                <w:szCs w:val="24"/>
                <w:highlight w:val="none"/>
                <w:lang w:val="en-US" w:eastAsia="zh-CN"/>
              </w:rPr>
              <w:t>不会对周围居民生活造成明显影响。综上所述，本项目选址较为合理。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kern w:val="0"/>
                <w:sz w:val="24"/>
                <w:szCs w:val="24"/>
                <w:lang w:val="en-US" w:eastAsia="zh-CN"/>
              </w:rPr>
              <w:t>4、与《黑龙江省工业炉窑大气污染综合治理方案》（黑环发</w:t>
            </w:r>
            <w:r>
              <w:rPr>
                <w:rFonts w:hint="eastAsia" w:cs="Times New Roman"/>
                <w:color w:val="auto"/>
                <w:kern w:val="0"/>
                <w:sz w:val="24"/>
                <w:szCs w:val="24"/>
                <w:lang w:val="en-US" w:eastAsia="zh-CN"/>
              </w:rPr>
              <w:t>〔2019〕144号</w:t>
            </w:r>
            <w:r>
              <w:rPr>
                <w:rFonts w:hint="default" w:ascii="Times New Roman" w:hAnsi="Times New Roman" w:cs="Times New Roman"/>
                <w:color w:val="auto"/>
                <w:kern w:val="0"/>
                <w:sz w:val="24"/>
                <w:szCs w:val="24"/>
                <w:lang w:val="en-US" w:eastAsia="zh-CN"/>
              </w:rPr>
              <w:t>）符合性分析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对照《黑龙江省工业炉窑大气污染综合治理方案》（黑环发〔2019〕144号），本项目不属于钢铁、焦化、电解铝、铸造、水泥和平板玻璃等产能过剩行业，符合文件中“二、重点任务：（一）加大产业结构调整力度”中的相关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本项目烘干塔热风炉燃用生物质压块燃料，不涉及燃煤及煤气发生炉设备，符合文件中“二、重点任务：（二）加快燃料清洁低碳化替代”中的相关要求。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本项目烘干塔热风炉</w:t>
            </w:r>
            <w:r>
              <w:rPr>
                <w:rFonts w:hint="eastAsia" w:cs="Times New Roman"/>
                <w:color w:val="auto"/>
                <w:sz w:val="24"/>
                <w:szCs w:val="24"/>
                <w:highlight w:val="none"/>
                <w:lang w:val="en-US" w:eastAsia="zh-CN"/>
              </w:rPr>
              <w:t>采用低氮燃烧技术，</w:t>
            </w:r>
            <w:r>
              <w:rPr>
                <w:rFonts w:hint="default" w:ascii="Times New Roman" w:hAnsi="Times New Roman" w:eastAsia="宋体" w:cs="Times New Roman"/>
                <w:color w:val="auto"/>
                <w:sz w:val="24"/>
                <w:szCs w:val="24"/>
                <w:highlight w:val="none"/>
                <w:lang w:val="en-US" w:eastAsia="zh-CN"/>
              </w:rPr>
              <w:t>配设布袋除尘器及15m排气筒，可使热风炉烟气达标排放；本项目粮食仓库封闭，输送传送带封闭设置，运输车辆进入粮食仓库内装卸料，装卸区设置遮挡设施，清选工艺采用封闭式清理筛，通过上述措施可使厂界颗粒物无组织达标排放，符合文件中“二、重点任务：（三）实施污染深度治理。推进工业炉窑全面达标排放。”中的相关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综上所述，本项目符合《黑龙江省工业炉窑大气污染综合治理方案》（黑环发</w:t>
            </w:r>
            <w:r>
              <w:rPr>
                <w:rFonts w:hint="eastAsia" w:cs="Times New Roman"/>
                <w:color w:val="auto"/>
                <w:sz w:val="24"/>
                <w:szCs w:val="24"/>
                <w:highlight w:val="none"/>
                <w:lang w:val="en-US" w:eastAsia="zh-CN"/>
              </w:rPr>
              <w:t>〔2019〕144号）</w:t>
            </w:r>
            <w:r>
              <w:rPr>
                <w:rFonts w:hint="default" w:ascii="Times New Roman" w:hAnsi="Times New Roman" w:eastAsia="宋体" w:cs="Times New Roman"/>
                <w:color w:val="auto"/>
                <w:sz w:val="24"/>
                <w:szCs w:val="24"/>
                <w:highlight w:val="none"/>
                <w:lang w:val="en-US" w:eastAsia="zh-CN"/>
              </w:rPr>
              <w:t>相关要求。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kern w:val="2"/>
                <w:sz w:val="24"/>
                <w:szCs w:val="24"/>
                <w:lang w:val="en-US" w:eastAsia="zh-CN" w:bidi="ar-SA"/>
              </w:rPr>
              <w:t>5、</w:t>
            </w:r>
            <w:r>
              <w:rPr>
                <w:rFonts w:hint="eastAsia" w:ascii="Times New Roman" w:hAnsi="Times New Roman" w:eastAsia="宋体" w:cs="Times New Roman"/>
                <w:color w:val="auto"/>
                <w:sz w:val="24"/>
                <w:szCs w:val="24"/>
                <w:highlight w:val="none"/>
                <w:lang w:val="en-US" w:eastAsia="zh-CN"/>
              </w:rPr>
              <w:t>与《工业炉窑大气污染综合治理方案》</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环大气</w:t>
            </w:r>
            <w:r>
              <w:rPr>
                <w:rFonts w:hint="eastAsia" w:cs="Times New Roman"/>
                <w:color w:val="auto"/>
                <w:sz w:val="24"/>
                <w:szCs w:val="24"/>
                <w:highlight w:val="none"/>
                <w:lang w:val="en-US" w:eastAsia="zh-CN"/>
              </w:rPr>
              <w:t>〔2019〕56号）</w:t>
            </w:r>
            <w:r>
              <w:rPr>
                <w:rFonts w:hint="eastAsia" w:ascii="Times New Roman" w:hAnsi="Times New Roman" w:eastAsia="宋体" w:cs="Times New Roman"/>
                <w:color w:val="auto"/>
                <w:sz w:val="24"/>
                <w:szCs w:val="24"/>
                <w:highlight w:val="none"/>
                <w:lang w:val="en-US" w:eastAsia="zh-CN"/>
              </w:rPr>
              <w:t>符合性分析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《工业炉窑大气污染综合治理方案</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提出：（一）加大产业结构调整力度。严格建设项目环境准入。新建涉工业炉窑的建设项目，原则上要入园区，配套建设高效环保治理设施。重点区域严格控制涉工业炉窑建设项目，严禁新增钢铁、焦化、电解铝、铸造、水泥和平板玻璃等产能；严格执行钢铁、水泥、平板玻璃等行业产能置换实施办法；原则上禁止新建燃料类煤气发生炉（园区现有企业统一建设的清洁煤制气中心除外）。加大落后产能和不达标工业炉窑淘汰力度。分行业清理《产业结构调整指导目录》淘汰类工业炉窑。天津、河北、山西、江苏、山东等地要按时完成各地已出台的钢铁、焦化、化工等行业产业结构调整任务。鼓励各地制定更加严格的环保标准，进一步促进产业结构调整。对热效率低下、敞开未封闭，装备简易落后、自动化程度低，无组织排放突出，以及无治理设施或治理设施工艺落后等严重污染环境的工业炉窑，依法责令停业关闭。</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二）加快燃料清洁低碳化替代。对以煤、石油焦、渣油、重油等为燃料的工业炉窑，加快使用清洁低碳能源以及利用工厂余热、电厂热力等进行替代。重点区域禁止掺烧高硫石油焦（硫含量大于3%）。玻璃行业全面禁止掺烧高硫石油焦。加大煤气发生炉淘汰力度。2020年年底前，重点区域淘汰炉膛直径3 米以下燃料类煤气发生炉；集中使用煤气发生炉的工业园区，暂不具备改用天然气条件的，原则上应建设统一的清洁煤制气中心。加快淘汰燃煤工业炉窑。重点区域取缔燃煤热风炉，基本淘汰热电联产供热管网覆盖范围内的燃煤加热、烘干炉（窑）。加快推动铸造（10吨/小时及以下）、岩棉等行业冲天炉改为电炉。</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三）实施污染深度治理。推进工业炉窑全面达标排放。已有行业排放标准的工业炉窑，严格执行行业排放标准相关规定，配套建设高效脱硫脱硝除尘设施，确保稳定达标排放。已制定更严格地方排放标准的，按地方标准执行。重点区域钢铁、水泥、焦化、石化、化工、有色等行业，二氧化硫、氮氧化物、颗粒物、挥发性有机物（VOCs）排放全面执行大气污染物特别排放限值。已核发排污许可证的，应严格执行许可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热风炉属于工业炉窑，但由于项目为区域粮食服务，不属于《工业炉窑大气污染综合治理方案》中所列的行业，结合黑龙江省现有粮食烘干企业的情况，目前均未要求粮食烘干企业进驻工业园区的要求。热风炉燃料为生物质，燃生物质热风炉</w:t>
            </w:r>
            <w:r>
              <w:rPr>
                <w:rFonts w:hint="eastAsia" w:cs="Times New Roman"/>
                <w:color w:val="auto"/>
                <w:sz w:val="24"/>
                <w:szCs w:val="24"/>
                <w:highlight w:val="none"/>
                <w:lang w:val="en-US" w:eastAsia="zh-CN"/>
              </w:rPr>
              <w:t>采用低氮燃烧技术，</w:t>
            </w:r>
            <w:r>
              <w:rPr>
                <w:rFonts w:hint="eastAsia" w:ascii="Times New Roman" w:hAnsi="Times New Roman" w:eastAsia="宋体" w:cs="Times New Roman"/>
                <w:color w:val="auto"/>
                <w:sz w:val="24"/>
                <w:szCs w:val="24"/>
                <w:highlight w:val="none"/>
                <w:lang w:val="en-US" w:eastAsia="zh-CN"/>
              </w:rPr>
              <w:t>烟气经除尘效率为99%的布袋除尘器处理后经15m高烟囱排放，颗粒物排放浓度执行《工业炉窑大气污染物排放标准》（GB9078-1996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表2中的二级标准，汞、SO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排放浓度执行《工业炉窑大气污染物排放标准》（GB9078-1996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表4中的二级标准。烟气黑度执行《工业炉窑大气污染物排放标准》（GB9078-1996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表2中的二级标准。综上分析，本项目符合《工业炉窑大气污染综合治理方案》相关要求。</w:t>
            </w:r>
          </w:p>
          <w:p>
            <w:pPr>
              <w:pStyle w:val="38"/>
              <w:rPr>
                <w:rFonts w:hint="default"/>
                <w:color w:val="auto"/>
                <w:lang w:val="en-US" w:eastAsia="zh-CN"/>
              </w:rPr>
            </w:pPr>
            <w:r>
              <w:rPr>
                <w:rFonts w:hint="eastAsia" w:ascii="Times New Roman" w:hAnsi="Times New Roman" w:eastAsia="宋体" w:cs="Times New Roman"/>
                <w:color w:val="auto"/>
                <w:sz w:val="24"/>
                <w:szCs w:val="24"/>
                <w:highlight w:val="none"/>
                <w:lang w:val="en-US" w:eastAsia="zh-CN"/>
              </w:rPr>
              <w:t>6、与《黑龙江省大气污染防治行动计划实施细则》符合性分析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黑龙江省大气污染防治行动计划实施细则》指出：“加强电力、冶金、石油石化、建材、焦化等重点行业二氧化硫、氮氧化物和颗粒物的治理。所有燃煤电厂、钢铁企业的烧结机和球团生产设备、石油炼制企业的催化裂化装置、有色金属冶炼企业都要安装脱硫设施。”“严格产业环境准入。严控高污染、高耗能行业新增产能，全省不再审批新增加产能的钢铁、水泥、平板玻璃、电解铝等严重过剩产能项目。”“优化产业空间布局。科学制定并严格实施城市规划，强化城市空间管制要求和绿地控制要求。合理确定产业发展布局，规范各类产业园区和城市新城、新区设立和布局，重大建设项目原则上布局在重点开发区。”</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为热力生产和供应、农产品初加工类项目，不属于电力、冶金、石油石化、建材、焦化等重点行业，不属于钢铁、水泥、平板玻璃、电解铝等严重过剩产能项目，不属于上述高污染、高耗能行业，本项目燃生物质热风炉</w:t>
            </w:r>
            <w:r>
              <w:rPr>
                <w:rFonts w:hint="eastAsia" w:cs="Times New Roman"/>
                <w:color w:val="auto"/>
                <w:sz w:val="24"/>
                <w:szCs w:val="24"/>
                <w:highlight w:val="none"/>
                <w:lang w:val="en-US" w:eastAsia="zh-CN"/>
              </w:rPr>
              <w:t>采用低氮燃烧技术，</w:t>
            </w:r>
            <w:r>
              <w:rPr>
                <w:rFonts w:hint="eastAsia" w:ascii="Times New Roman" w:hAnsi="Times New Roman" w:eastAsia="宋体" w:cs="Times New Roman"/>
                <w:color w:val="auto"/>
                <w:sz w:val="24"/>
                <w:szCs w:val="24"/>
                <w:highlight w:val="none"/>
                <w:lang w:val="en-US" w:eastAsia="zh-CN"/>
              </w:rPr>
              <w:t>烟气经除尘效率为99%的布袋除尘器处理后经15m高烟囱排放，颗粒物排放浓度执行《工业炉窑大气污染物排放标准》（GB9078-1996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表2中的二级标准，SO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排放浓度执行《工业炉窑大气污染物排放标准》（GB9078-1996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表4中的二级标准。烟气黑度执行《工业炉窑大气污染物排放标准》（GB9078-1996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表2中的二级标准。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粮食烘干、筛选、装卸、输送生产过程中采取仓库密闭、减小装卸高度；清理筛</w:t>
            </w:r>
            <w:r>
              <w:rPr>
                <w:rFonts w:hint="eastAsia" w:cs="Times New Roman"/>
                <w:color w:val="auto"/>
                <w:sz w:val="24"/>
                <w:szCs w:val="24"/>
                <w:highlight w:val="none"/>
                <w:lang w:val="en-US" w:eastAsia="zh-CN"/>
              </w:rPr>
              <w:t>采用封闭式清理筛</w:t>
            </w:r>
            <w:r>
              <w:rPr>
                <w:rFonts w:hint="eastAsia" w:ascii="Times New Roman" w:hAnsi="Times New Roman" w:eastAsia="宋体" w:cs="Times New Roman"/>
                <w:color w:val="auto"/>
                <w:sz w:val="24"/>
                <w:szCs w:val="24"/>
                <w:highlight w:val="none"/>
                <w:lang w:val="en-US" w:eastAsia="zh-CN"/>
              </w:rPr>
              <w:t>，烘干塔烘干废气经折流挡板和塔顶排气孔滤尘网过滤后排放。采取措施后厂区内污染物排放量小，对环境空气影响较小，因此本项目符合《黑龙江省大气污染防治行动计划实施细则》要求。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7</w:t>
            </w:r>
            <w:r>
              <w:rPr>
                <w:rFonts w:hint="eastAsia" w:ascii="Times New Roman" w:hAnsi="Times New Roman" w:eastAsia="宋体" w:cs="Times New Roman"/>
                <w:color w:val="auto"/>
                <w:sz w:val="24"/>
                <w:szCs w:val="24"/>
                <w:highlight w:val="none"/>
                <w:lang w:val="en-US" w:eastAsia="zh-CN"/>
              </w:rPr>
              <w:t>、与《环境空气细颗粒物污染综合防治技术政策》（中华人民共和国环境保护部公告2013年第59号）符合性分析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（十）应将排放细颗粒物和前体污染物排放量较大的行业作为工业污染源治理的重点</w:t>
            </w:r>
            <w:r>
              <w:rPr>
                <w:rFonts w:hint="eastAsia" w:ascii="宋体" w:hAnsi="宋体" w:cs="宋体"/>
                <w:bCs/>
                <w:color w:val="auto"/>
                <w:kern w:val="0"/>
                <w:sz w:val="24"/>
                <w:highlight w:val="none"/>
                <w:lang w:val="en-US" w:eastAsia="zh-CN"/>
              </w:rPr>
              <w:t>。</w:t>
            </w:r>
            <w:r>
              <w:rPr>
                <w:rFonts w:hint="eastAsia" w:ascii="宋体" w:hAnsi="宋体" w:eastAsia="宋体" w:cs="宋体"/>
                <w:bCs/>
                <w:color w:val="auto"/>
                <w:kern w:val="0"/>
                <w:sz w:val="24"/>
                <w:highlight w:val="none"/>
                <w:lang w:val="en-US" w:eastAsia="zh-CN"/>
              </w:rPr>
              <w:t>包括：火电、冶金、建材、石油化工、合成材料、制药、塑料加工、表面涂装、电子产品与设备制造、包装印刷等。工业污染源的污染防治，应参照燃煤二氧化硫、火电厂氮氧化物和冶金、建材、化工等污染防治技术政策的具体内容，开展相关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（十一）应加强对各类污染源的监管，确保污染治理设施稳定运行，切实落实企业环保责任。鼓励采用低能耗、低污染的生产工艺，提高各个行业的清洁生产水平，降低污染物产生量。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（十二）应制定严格、完善的国家和地方工业污染物排放标准，明确各行业排放控制要求。在环境污染严重、污染物排放量大的地区，应制定实施严格的地方排放标准或国家排放标准特别排放限值。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（十三）对于排放细颗粒物的工业污染源，应按照生产工艺、排放方式和烟（废）气组成的特点，选取适用的污染防治技术。工业污染源有组织排放的颗粒物，宜</w:t>
            </w:r>
            <w:r>
              <w:rPr>
                <w:rFonts w:hint="default" w:ascii="Times New Roman" w:hAnsi="Times New Roman" w:eastAsia="宋体" w:cs="Times New Roman"/>
                <w:bCs/>
                <w:color w:val="auto"/>
                <w:kern w:val="0"/>
                <w:sz w:val="24"/>
                <w:highlight w:val="none"/>
                <w:lang w:val="en-US" w:eastAsia="zh-CN"/>
              </w:rPr>
              <w:t xml:space="preserve">采取袋除尘、电除尘、电袋除尘等高效除尘技术，鼓励火电机组和大型燃煤锅炉采用湿式电除尘等新技术。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eastAsia="宋体" w:cs="Times New Roman"/>
                <w:bCs/>
                <w:color w:val="auto"/>
                <w:kern w:val="0"/>
                <w:sz w:val="24"/>
                <w:highlight w:val="none"/>
                <w:lang w:val="en-US" w:eastAsia="zh-CN"/>
              </w:rPr>
              <w:t>（十五）产生大气颗粒物及其前体物污染物的生产活动应尽量采用密闭装置，避免无组织排放；无法完全密闭的，应安装集气装置收集逸散的污染物，经净化后排放。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kern w:val="0"/>
                <w:sz w:val="24"/>
                <w:highlight w:val="none"/>
              </w:rPr>
              <w:t>本项目热风炉</w:t>
            </w:r>
            <w:r>
              <w:rPr>
                <w:rFonts w:hint="eastAsia" w:cs="Times New Roman"/>
                <w:color w:val="auto"/>
                <w:sz w:val="24"/>
                <w:szCs w:val="24"/>
                <w:highlight w:val="none"/>
                <w:lang w:val="en-US" w:eastAsia="zh-CN"/>
              </w:rPr>
              <w:t>采用低氮燃烧技术，</w:t>
            </w:r>
            <w:r>
              <w:rPr>
                <w:rFonts w:hint="default" w:ascii="Times New Roman" w:hAnsi="Times New Roman" w:eastAsia="宋体" w:cs="Times New Roman"/>
                <w:color w:val="auto"/>
                <w:kern w:val="0"/>
                <w:sz w:val="24"/>
                <w:highlight w:val="none"/>
              </w:rPr>
              <w:t>烟气经除尘效率为99%的布袋除尘器处理后经15m高烟囱排放，颗粒物</w:t>
            </w:r>
            <w:r>
              <w:rPr>
                <w:rFonts w:hint="default" w:ascii="Times New Roman" w:hAnsi="Times New Roman" w:eastAsia="宋体" w:cs="Times New Roman"/>
                <w:color w:val="auto"/>
                <w:kern w:val="0"/>
                <w:sz w:val="24"/>
                <w:highlight w:val="none"/>
                <w:lang w:val="en-US" w:eastAsia="zh-CN"/>
              </w:rPr>
              <w:t>和烟气黑度</w:t>
            </w:r>
            <w:r>
              <w:rPr>
                <w:rFonts w:hint="default" w:ascii="Times New Roman" w:hAnsi="Times New Roman" w:eastAsia="宋体" w:cs="Times New Roman"/>
                <w:color w:val="auto"/>
                <w:kern w:val="0"/>
                <w:sz w:val="24"/>
                <w:highlight w:val="none"/>
              </w:rPr>
              <w:t>排放执行《工业炉窑大气污染物排放标准》（GB9078-1996</w:t>
            </w:r>
            <w:r>
              <w:rPr>
                <w:rFonts w:hint="eastAsia"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表2中的二级标准，SO</w:t>
            </w:r>
            <w:r>
              <w:rPr>
                <w:rFonts w:hint="default" w:ascii="Times New Roman" w:hAnsi="Times New Roman" w:eastAsia="宋体" w:cs="Times New Roman"/>
                <w:color w:val="auto"/>
                <w:kern w:val="0"/>
                <w:sz w:val="24"/>
                <w:highlight w:val="none"/>
                <w:vertAlign w:val="subscript"/>
              </w:rPr>
              <w:t>2</w:t>
            </w:r>
            <w:r>
              <w:rPr>
                <w:rFonts w:hint="default" w:ascii="Times New Roman" w:hAnsi="Times New Roman" w:eastAsia="宋体" w:cs="Times New Roman"/>
                <w:color w:val="auto"/>
                <w:kern w:val="0"/>
                <w:sz w:val="24"/>
                <w:highlight w:val="none"/>
              </w:rPr>
              <w:t>排放浓度执行《工业炉窑大气污染物排放标准》（GB9078-1996</w:t>
            </w:r>
            <w:r>
              <w:rPr>
                <w:rFonts w:hint="eastAsia"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表4中的二级标准。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kern w:val="0"/>
                <w:sz w:val="24"/>
                <w:highlight w:val="none"/>
              </w:rPr>
              <w:t>粮食烘干、筛选、装卸、输送生产过程中</w:t>
            </w:r>
            <w:r>
              <w:rPr>
                <w:rFonts w:hint="default" w:ascii="Times New Roman" w:hAnsi="Times New Roman" w:eastAsia="宋体" w:cs="Times New Roman"/>
                <w:color w:val="auto"/>
                <w:kern w:val="0"/>
                <w:sz w:val="24"/>
                <w:highlight w:val="none"/>
                <w:lang w:val="en-US" w:eastAsia="zh-CN"/>
              </w:rPr>
              <w:t>采取</w:t>
            </w:r>
            <w:r>
              <w:rPr>
                <w:rFonts w:hint="default" w:ascii="Times New Roman" w:hAnsi="Times New Roman" w:eastAsia="宋体" w:cs="Times New Roman"/>
                <w:color w:val="auto"/>
                <w:kern w:val="0"/>
                <w:sz w:val="24"/>
                <w:highlight w:val="none"/>
              </w:rPr>
              <w:t>烘干塔钢罩收集、储粮库密闭、封闭输送等措施</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sz w:val="24"/>
                <w:szCs w:val="24"/>
                <w:highlight w:val="none"/>
              </w:rPr>
              <w:t>项目采取措施符合《环境空气细颗粒物污染综合防治技术政策》（中华人民共和国环境保护部公告2013年第59号）要求。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、与《</w:t>
            </w:r>
            <w:r>
              <w:rPr>
                <w:rFonts w:hint="default" w:ascii="Times New Roman" w:hAnsi="Times New Roman" w:cs="Times New Roman"/>
                <w:color w:val="auto"/>
                <w:sz w:val="24"/>
                <w:szCs w:val="24"/>
                <w:highlight w:val="none"/>
                <w:lang w:val="en-US" w:eastAsia="zh-CN"/>
              </w:rPr>
              <w:t>伊春市</w:t>
            </w:r>
            <w:r>
              <w:rPr>
                <w:rFonts w:hint="default" w:ascii="Times New Roman" w:hAnsi="Times New Roman" w:eastAsia="宋体" w:cs="Times New Roman"/>
                <w:color w:val="auto"/>
                <w:sz w:val="24"/>
                <w:szCs w:val="24"/>
                <w:highlight w:val="none"/>
                <w:lang w:val="en-US" w:eastAsia="zh-CN"/>
              </w:rPr>
              <w:t>“十四五”生态环境保护规划》符合性分析</w:t>
            </w:r>
          </w:p>
          <w:p>
            <w:pPr>
              <w:pStyle w:val="38"/>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规划要求深化燃煤污染治理，严格控制煤炭消费总量。加大清洁能源的供应和推广力度，推进天然气、电能替代燃煤，深入开展工业企业提标改造，推进火电、钢铁企业实施超低排放改造。县级及以上城市建成区原则上不再新建每小时35蒸吨以下的燃煤锅炉，其他地区原则上不再新建每小时10蒸吨以下的燃煤锅炉，持续巩固燃煤锅炉淘汰改造成果。组织开展重点排放单位数据报送及核查、发电行业重点排放单位开户及配额预分配和清缴。强化移动源污染治理，加强在用机动车污染治理，精细化管控道路、交通、拆迁等各类扬尘污染，降尘量大幅降低，空气质量稳步改善。</w:t>
            </w:r>
          </w:p>
          <w:p>
            <w:pPr>
              <w:pStyle w:val="38"/>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项目烘干粮食所采用的热风炉燃料为生物质成型燃料，</w:t>
            </w:r>
            <w:r>
              <w:rPr>
                <w:rFonts w:hint="eastAsia" w:cs="Times New Roman"/>
                <w:color w:val="auto"/>
                <w:sz w:val="24"/>
                <w:szCs w:val="24"/>
                <w:highlight w:val="none"/>
                <w:lang w:val="en-US" w:eastAsia="zh-CN"/>
              </w:rPr>
              <w:t>采用低氮燃烧技术，</w:t>
            </w:r>
            <w:r>
              <w:rPr>
                <w:rFonts w:hint="default" w:ascii="Times New Roman" w:hAnsi="Times New Roman" w:eastAsia="宋体" w:cs="Times New Roman"/>
                <w:color w:val="auto"/>
                <w:kern w:val="0"/>
                <w:sz w:val="24"/>
                <w:szCs w:val="24"/>
                <w:highlight w:val="none"/>
                <w:lang w:val="en-US" w:eastAsia="zh-CN" w:bidi="ar-SA"/>
              </w:rPr>
              <w:t>同时安装布袋除尘器，产生的废气经15m高排气筒排放。符合</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伊春市</w:t>
            </w:r>
            <w:r>
              <w:rPr>
                <w:rFonts w:hint="default" w:ascii="Times New Roman" w:hAnsi="Times New Roman" w:eastAsia="宋体" w:cs="Times New Roman"/>
                <w:color w:val="auto"/>
                <w:sz w:val="24"/>
                <w:szCs w:val="24"/>
                <w:highlight w:val="none"/>
                <w:lang w:val="en-US" w:eastAsia="zh-CN"/>
              </w:rPr>
              <w:t>“十四五”生态环境保护规划》</w:t>
            </w:r>
          </w:p>
          <w:p>
            <w:pPr>
              <w:pStyle w:val="38"/>
              <w:jc w:val="both"/>
              <w:rPr>
                <w:rFonts w:hint="default" w:ascii="Times New Roman" w:hAnsi="Times New Roman" w:eastAsia="宋体" w:cs="Times New Roman"/>
                <w:color w:val="auto"/>
                <w:sz w:val="24"/>
                <w:szCs w:val="24"/>
                <w:highlight w:val="no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cs="Times New Roman"/>
                <w:color w:val="auto"/>
                <w:kern w:val="0"/>
                <w:szCs w:val="21"/>
                <w:lang w:val="en-US" w:eastAsia="zh-CN"/>
              </w:rPr>
            </w:pPr>
          </w:p>
        </w:tc>
      </w:tr>
    </w:tbl>
    <w:p>
      <w:pPr>
        <w:spacing w:line="360" w:lineRule="auto"/>
        <w:outlineLvl w:val="9"/>
        <w:rPr>
          <w:rFonts w:hint="default" w:ascii="Times New Roman" w:hAnsi="Times New Roman" w:eastAsia="黑体" w:cs="Times New Roman"/>
          <w:color w:val="auto"/>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pPr>
        <w:pStyle w:val="25"/>
        <w:jc w:val="center"/>
        <w:outlineLvl w:val="0"/>
        <w:rPr>
          <w:rFonts w:hint="default" w:ascii="Times New Roman" w:hAnsi="Times New Roman" w:eastAsia="黑体" w:cs="Times New Roman"/>
          <w:snapToGrid w:val="0"/>
          <w:color w:val="auto"/>
          <w:sz w:val="30"/>
          <w:szCs w:val="30"/>
        </w:rPr>
      </w:pPr>
      <w:bookmarkStart w:id="15" w:name="_Toc3913"/>
      <w:bookmarkStart w:id="16" w:name="_Toc31158"/>
      <w:r>
        <w:rPr>
          <w:rFonts w:hint="default" w:ascii="Times New Roman" w:hAnsi="Times New Roman" w:eastAsia="黑体" w:cs="Times New Roman"/>
          <w:snapToGrid w:val="0"/>
          <w:color w:val="auto"/>
          <w:sz w:val="30"/>
          <w:szCs w:val="30"/>
        </w:rPr>
        <w:t>二、建设项目工程分析</w:t>
      </w:r>
      <w:bookmarkEnd w:id="15"/>
      <w:bookmarkEnd w:id="16"/>
    </w:p>
    <w:tbl>
      <w:tblPr>
        <w:tblStyle w:val="30"/>
        <w:tblW w:w="10057"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6"/>
        <w:gridCol w:w="960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215" w:hRule="atLeast"/>
          <w:jc w:val="center"/>
        </w:trPr>
        <w:tc>
          <w:tcPr>
            <w:tcW w:w="456" w:type="dxa"/>
            <w:noWrap w:val="0"/>
            <w:vAlign w:val="center"/>
          </w:tcPr>
          <w:p>
            <w:pPr>
              <w:pStyle w:val="25"/>
              <w:adjustRightInd w:val="0"/>
              <w:snapToGrid w:val="0"/>
              <w:spacing w:before="0" w:beforeAutospacing="0" w:after="0" w:afterAutospacing="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建设内容</w:t>
            </w:r>
          </w:p>
        </w:tc>
        <w:tc>
          <w:tcPr>
            <w:tcW w:w="9601" w:type="dxa"/>
            <w:noWrap w:val="0"/>
            <w:vAlign w:val="center"/>
          </w:tcPr>
          <w:p>
            <w:pPr>
              <w:numPr>
                <w:ilvl w:val="0"/>
                <w:numId w:val="0"/>
              </w:numPr>
              <w:spacing w:line="360" w:lineRule="auto"/>
              <w:rPr>
                <w:rFonts w:hint="default" w:ascii="Times New Roman" w:hAnsi="Times New Roman" w:eastAsia="宋体" w:cs="Times New Roman"/>
                <w:b/>
                <w:color w:val="auto"/>
                <w:kern w:val="0"/>
                <w:sz w:val="24"/>
                <w:szCs w:val="24"/>
                <w:lang w:val="en-US" w:eastAsia="zh-CN"/>
              </w:rPr>
            </w:pPr>
            <w:r>
              <w:rPr>
                <w:rFonts w:hint="default" w:ascii="Times New Roman" w:hAnsi="Times New Roman" w:eastAsia="宋体" w:cs="Times New Roman"/>
                <w:b/>
                <w:color w:val="auto"/>
                <w:kern w:val="0"/>
                <w:sz w:val="24"/>
                <w:szCs w:val="24"/>
                <w:lang w:val="en-US" w:eastAsia="zh-CN" w:bidi="ar-SA"/>
              </w:rPr>
              <w:t>1、</w:t>
            </w:r>
            <w:r>
              <w:rPr>
                <w:rFonts w:hint="default" w:ascii="Times New Roman" w:hAnsi="Times New Roman" w:eastAsia="宋体" w:cs="Times New Roman"/>
                <w:b/>
                <w:color w:val="auto"/>
                <w:kern w:val="0"/>
                <w:sz w:val="24"/>
                <w:szCs w:val="24"/>
                <w:lang w:val="en-US" w:eastAsia="zh-CN"/>
              </w:rPr>
              <w:t>项目概况</w:t>
            </w:r>
          </w:p>
          <w:p>
            <w:pPr>
              <w:spacing w:line="360" w:lineRule="auto"/>
              <w:ind w:firstLine="480" w:firstLineChars="200"/>
              <w:textAlignment w:val="baseline"/>
              <w:rPr>
                <w:rFonts w:hint="default" w:ascii="Times New Roman" w:hAnsi="Times New Roman" w:cs="Times New Roman"/>
                <w:color w:val="auto"/>
                <w:sz w:val="24"/>
                <w:highlight w:val="none"/>
                <w:u w:val="single"/>
                <w:lang w:val="en-US"/>
              </w:rPr>
            </w:pPr>
            <w:r>
              <w:rPr>
                <w:rFonts w:hint="default" w:ascii="Times New Roman" w:hAnsi="Times New Roman" w:cs="Times New Roman"/>
                <w:color w:val="auto"/>
                <w:sz w:val="24"/>
              </w:rPr>
              <w:t>（</w:t>
            </w:r>
            <w:r>
              <w:rPr>
                <w:rFonts w:hint="eastAsia" w:ascii="Times New Roman" w:hAnsi="Times New Roman" w:cs="Times New Roman"/>
                <w:color w:val="auto"/>
                <w:kern w:val="0"/>
                <w:sz w:val="24"/>
                <w:lang w:val="en-US" w:eastAsia="zh-CN"/>
              </w:rPr>
              <w:t>1</w:t>
            </w:r>
            <w:r>
              <w:rPr>
                <w:rFonts w:hint="default" w:ascii="Times New Roman" w:hAnsi="Times New Roman" w:cs="Times New Roman"/>
                <w:color w:val="auto"/>
                <w:kern w:val="0"/>
                <w:sz w:val="24"/>
              </w:rPr>
              <w:t>）</w:t>
            </w:r>
            <w:r>
              <w:rPr>
                <w:rFonts w:hint="default" w:ascii="Times New Roman" w:hAnsi="Times New Roman" w:cs="Times New Roman"/>
                <w:color w:val="auto"/>
                <w:sz w:val="24"/>
              </w:rPr>
              <w:t>占地面</w:t>
            </w:r>
            <w:r>
              <w:rPr>
                <w:rFonts w:hint="default" w:ascii="Times New Roman" w:hAnsi="Times New Roman" w:cs="Times New Roman"/>
                <w:color w:val="auto"/>
                <w:sz w:val="24"/>
                <w:szCs w:val="24"/>
              </w:rPr>
              <w:t>积：</w:t>
            </w:r>
            <w:r>
              <w:rPr>
                <w:rFonts w:hint="eastAsia" w:cs="Times New Roman"/>
                <w:color w:val="auto"/>
                <w:sz w:val="24"/>
                <w:szCs w:val="24"/>
                <w:highlight w:val="none"/>
                <w:vertAlign w:val="baseline"/>
                <w:lang w:val="en-US" w:eastAsia="zh-CN"/>
              </w:rPr>
              <w:t>占地面积10000</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vertAlign w:val="baseline"/>
                <w:lang w:val="en-US" w:eastAsia="zh-CN"/>
              </w:rPr>
              <w:t>。</w:t>
            </w:r>
          </w:p>
          <w:p>
            <w:pPr>
              <w:spacing w:line="360" w:lineRule="auto"/>
              <w:ind w:firstLine="480" w:firstLineChars="200"/>
              <w:textAlignment w:val="baseline"/>
              <w:rPr>
                <w:rFonts w:hint="default" w:ascii="Times New Roman" w:hAnsi="Times New Roman" w:eastAsia="宋体" w:cs="Times New Roman"/>
                <w:color w:val="auto"/>
                <w:sz w:val="24"/>
                <w:szCs w:val="24"/>
                <w:highlight w:val="none"/>
                <w:lang w:val="en-US"/>
              </w:rPr>
            </w:pP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2</w:t>
            </w:r>
            <w:r>
              <w:rPr>
                <w:rFonts w:hint="default" w:ascii="Times New Roman" w:hAnsi="Times New Roman" w:cs="Times New Roman"/>
                <w:color w:val="auto"/>
                <w:sz w:val="24"/>
              </w:rPr>
              <w:t>）建设规</w:t>
            </w:r>
            <w:r>
              <w:rPr>
                <w:rFonts w:hint="default" w:ascii="Times New Roman" w:hAnsi="Times New Roman" w:eastAsia="宋体" w:cs="Times New Roman"/>
                <w:color w:val="auto"/>
                <w:sz w:val="24"/>
                <w:szCs w:val="24"/>
                <w:highlight w:val="none"/>
                <w:lang w:val="en-US" w:eastAsia="zh-CN"/>
              </w:rPr>
              <w:t>模：主要建设内容包括一台</w:t>
            </w:r>
            <w:r>
              <w:rPr>
                <w:rFonts w:hint="eastAsia"/>
                <w:color w:val="auto"/>
                <w:sz w:val="24"/>
                <w:lang w:val="en-US" w:eastAsia="zh-CN"/>
              </w:rPr>
              <w:t>720万</w:t>
            </w:r>
            <w:r>
              <w:rPr>
                <w:rFonts w:hint="default" w:ascii="Times New Roman" w:hAnsi="Times New Roman" w:eastAsia="宋体" w:cs="Times New Roman"/>
                <w:color w:val="auto"/>
                <w:sz w:val="24"/>
                <w:szCs w:val="24"/>
                <w:lang w:val="en-US" w:eastAsia="zh-CN"/>
              </w:rPr>
              <w:t>kcal/h</w:t>
            </w:r>
            <w:r>
              <w:rPr>
                <w:rFonts w:hint="default" w:ascii="Times New Roman" w:hAnsi="Times New Roman" w:eastAsia="宋体" w:cs="Times New Roman"/>
                <w:color w:val="auto"/>
                <w:sz w:val="24"/>
                <w:szCs w:val="24"/>
                <w:highlight w:val="none"/>
                <w:lang w:val="en-US" w:eastAsia="zh-CN"/>
              </w:rPr>
              <w:t>的燃生物质热风炉，配备一座烘干能力为</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00t/d的烘干塔</w:t>
            </w:r>
            <w:r>
              <w:rPr>
                <w:rFonts w:hint="eastAsia" w:cs="Times New Roman"/>
                <w:color w:val="auto"/>
                <w:sz w:val="24"/>
                <w:szCs w:val="24"/>
                <w:highlight w:val="none"/>
                <w:lang w:val="en-US" w:eastAsia="zh-CN"/>
              </w:rPr>
              <w:t>及相关配套设施，本项目</w:t>
            </w:r>
            <w:r>
              <w:rPr>
                <w:rFonts w:hint="eastAsia" w:ascii="Times New Roman" w:hAnsi="Times New Roman" w:eastAsia="宋体" w:cs="Times New Roman"/>
                <w:color w:val="auto"/>
                <w:sz w:val="24"/>
                <w:szCs w:val="24"/>
                <w:highlight w:val="none"/>
                <w:lang w:val="en-US" w:eastAsia="zh-CN"/>
              </w:rPr>
              <w:t>年烘干</w:t>
            </w:r>
            <w:r>
              <w:rPr>
                <w:rFonts w:hint="eastAsia" w:cs="Times New Roman"/>
                <w:color w:val="auto"/>
                <w:sz w:val="24"/>
                <w:szCs w:val="24"/>
                <w:highlight w:val="none"/>
                <w:lang w:val="en-US" w:eastAsia="zh-CN"/>
              </w:rPr>
              <w:t>30</w:t>
            </w:r>
            <w:r>
              <w:rPr>
                <w:rFonts w:hint="eastAsia" w:ascii="Times New Roman" w:hAnsi="Times New Roman" w:eastAsia="宋体" w:cs="Times New Roman"/>
                <w:color w:val="auto"/>
                <w:sz w:val="24"/>
                <w:szCs w:val="24"/>
                <w:highlight w:val="none"/>
                <w:lang w:val="en-US" w:eastAsia="zh-CN"/>
              </w:rPr>
              <w:t>天，年烘干玉米</w:t>
            </w:r>
            <w:r>
              <w:rPr>
                <w:rFonts w:hint="eastAsia" w:cs="Times New Roman"/>
                <w:color w:val="auto"/>
                <w:sz w:val="24"/>
                <w:szCs w:val="24"/>
                <w:highlight w:val="none"/>
                <w:lang w:val="en-US" w:eastAsia="zh-CN"/>
              </w:rPr>
              <w:t>15</w:t>
            </w:r>
            <w:r>
              <w:rPr>
                <w:rFonts w:hint="eastAsia" w:ascii="Times New Roman" w:hAnsi="Times New Roman" w:eastAsia="宋体" w:cs="Times New Roman"/>
                <w:color w:val="auto"/>
                <w:sz w:val="24"/>
                <w:szCs w:val="24"/>
                <w:highlight w:val="none"/>
                <w:lang w:val="en-US" w:eastAsia="zh-CN"/>
              </w:rPr>
              <w:t>000t。</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3</w:t>
            </w:r>
            <w:r>
              <w:rPr>
                <w:rFonts w:hint="default" w:ascii="Times New Roman" w:hAnsi="Times New Roman" w:cs="Times New Roman"/>
                <w:color w:val="auto"/>
                <w:sz w:val="24"/>
              </w:rPr>
              <w:t>）项目投资：该项目总投资</w:t>
            </w:r>
            <w:r>
              <w:rPr>
                <w:rFonts w:hint="eastAsia" w:cs="Times New Roman"/>
                <w:color w:val="auto"/>
                <w:sz w:val="24"/>
                <w:lang w:val="en-US" w:eastAsia="zh-CN"/>
              </w:rPr>
              <w:t>5</w:t>
            </w:r>
            <w:r>
              <w:rPr>
                <w:rFonts w:hint="eastAsia" w:ascii="Times New Roman" w:hAnsi="Times New Roman" w:cs="Times New Roman"/>
                <w:color w:val="auto"/>
                <w:sz w:val="24"/>
                <w:lang w:val="en-US" w:eastAsia="zh-CN"/>
              </w:rPr>
              <w:t>00</w:t>
            </w:r>
            <w:r>
              <w:rPr>
                <w:rFonts w:hint="eastAsia" w:cs="Times New Roman"/>
                <w:color w:val="auto"/>
                <w:sz w:val="24"/>
                <w:lang w:val="en-US" w:eastAsia="zh-CN"/>
              </w:rPr>
              <w:t>万元。</w:t>
            </w:r>
          </w:p>
          <w:p>
            <w:pPr>
              <w:spacing w:line="360" w:lineRule="auto"/>
              <w:rPr>
                <w:rFonts w:hint="default" w:ascii="Times New Roman" w:hAnsi="Times New Roman" w:eastAsia="宋体" w:cs="Times New Roman"/>
                <w:b/>
                <w:color w:val="auto"/>
                <w:kern w:val="0"/>
                <w:sz w:val="24"/>
                <w:szCs w:val="24"/>
              </w:rPr>
            </w:pPr>
            <w:r>
              <w:rPr>
                <w:rFonts w:hint="default" w:ascii="Times New Roman" w:hAnsi="Times New Roman" w:eastAsia="宋体" w:cs="Times New Roman"/>
                <w:b/>
                <w:color w:val="auto"/>
                <w:kern w:val="0"/>
                <w:sz w:val="24"/>
                <w:szCs w:val="24"/>
                <w:lang w:val="en-US" w:eastAsia="zh-CN"/>
              </w:rPr>
              <w:t>2</w:t>
            </w:r>
            <w:r>
              <w:rPr>
                <w:rFonts w:hint="default" w:ascii="Times New Roman" w:hAnsi="Times New Roman" w:eastAsia="宋体" w:cs="Times New Roman"/>
                <w:b/>
                <w:color w:val="auto"/>
                <w:kern w:val="0"/>
                <w:sz w:val="24"/>
                <w:szCs w:val="24"/>
              </w:rPr>
              <w:t>、项目建设内容</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bCs/>
                <w:color w:val="auto"/>
                <w:kern w:val="0"/>
                <w:sz w:val="24"/>
                <w:szCs w:val="24"/>
                <w:highlight w:val="yellow"/>
                <w:lang w:val="en-US" w:eastAsia="zh-CN"/>
              </w:rPr>
            </w:pPr>
            <w:r>
              <w:rPr>
                <w:rFonts w:hint="default" w:ascii="Times New Roman" w:hAnsi="Times New Roman" w:cs="Times New Roman"/>
                <w:color w:val="auto"/>
                <w:sz w:val="24"/>
                <w:szCs w:val="24"/>
                <w:highlight w:val="none"/>
                <w:lang w:val="en-US" w:eastAsia="zh-CN"/>
              </w:rPr>
              <w:t>主要建设内容包括</w:t>
            </w:r>
            <w:r>
              <w:rPr>
                <w:rFonts w:hint="eastAsia" w:cs="Times New Roman"/>
                <w:color w:val="auto"/>
                <w:sz w:val="24"/>
                <w:szCs w:val="24"/>
                <w:highlight w:val="none"/>
                <w:lang w:val="en-US" w:eastAsia="zh-CN"/>
              </w:rPr>
              <w:t>新建</w:t>
            </w:r>
            <w:r>
              <w:rPr>
                <w:rFonts w:hint="default" w:ascii="Times New Roman" w:hAnsi="Times New Roman" w:cs="Times New Roman"/>
                <w:color w:val="auto"/>
                <w:sz w:val="24"/>
                <w:szCs w:val="24"/>
                <w:highlight w:val="none"/>
                <w:lang w:val="en-US" w:eastAsia="zh-CN"/>
              </w:rPr>
              <w:t>一台</w:t>
            </w:r>
            <w:r>
              <w:rPr>
                <w:rFonts w:hint="eastAsia"/>
                <w:color w:val="auto"/>
                <w:sz w:val="24"/>
                <w:lang w:val="en-US" w:eastAsia="zh-CN"/>
              </w:rPr>
              <w:t>720万</w:t>
            </w:r>
            <w:r>
              <w:rPr>
                <w:rFonts w:hint="default" w:ascii="Times New Roman" w:hAnsi="Times New Roman" w:eastAsia="宋体" w:cs="Times New Roman"/>
                <w:color w:val="auto"/>
                <w:sz w:val="24"/>
                <w:szCs w:val="24"/>
                <w:lang w:val="en-US" w:eastAsia="zh-CN"/>
              </w:rPr>
              <w:t>kcal/h</w:t>
            </w:r>
            <w:r>
              <w:rPr>
                <w:rFonts w:hint="default" w:ascii="Times New Roman" w:hAnsi="Times New Roman" w:cs="Times New Roman"/>
                <w:color w:val="auto"/>
                <w:sz w:val="24"/>
                <w:szCs w:val="24"/>
                <w:highlight w:val="none"/>
                <w:lang w:val="en-US" w:eastAsia="zh-CN"/>
              </w:rPr>
              <w:t>的燃生物质热风炉，配备一座烘干能力为</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val="en-US" w:eastAsia="zh-CN"/>
              </w:rPr>
              <w:t>00t/d的烘干塔，</w:t>
            </w:r>
            <w:r>
              <w:rPr>
                <w:rFonts w:hint="eastAsia" w:ascii="Times New Roman" w:hAnsi="Times New Roman" w:cs="Times New Roman"/>
                <w:color w:val="auto"/>
                <w:sz w:val="24"/>
                <w:szCs w:val="24"/>
                <w:highlight w:val="none"/>
                <w:lang w:val="en-US" w:eastAsia="zh-CN"/>
              </w:rPr>
              <w:t>一座</w:t>
            </w:r>
            <w:r>
              <w:rPr>
                <w:rFonts w:hint="eastAsia" w:cs="Times New Roman"/>
                <w:color w:val="auto"/>
                <w:sz w:val="24"/>
                <w:szCs w:val="24"/>
                <w:highlight w:val="none"/>
                <w:lang w:val="en-US" w:eastAsia="zh-CN"/>
              </w:rPr>
              <w:t>原</w:t>
            </w:r>
            <w:r>
              <w:rPr>
                <w:rFonts w:hint="eastAsia" w:ascii="Times New Roman" w:hAnsi="Times New Roman" w:cs="Times New Roman"/>
                <w:color w:val="auto"/>
                <w:sz w:val="24"/>
                <w:szCs w:val="24"/>
                <w:highlight w:val="none"/>
                <w:lang w:val="en-US" w:eastAsia="zh-CN"/>
              </w:rPr>
              <w:t>粮</w:t>
            </w:r>
            <w:r>
              <w:rPr>
                <w:rFonts w:hint="eastAsia" w:cs="Times New Roman"/>
                <w:color w:val="auto"/>
                <w:sz w:val="24"/>
                <w:szCs w:val="24"/>
                <w:highlight w:val="none"/>
                <w:lang w:val="en-US" w:eastAsia="zh-CN"/>
              </w:rPr>
              <w:t>库</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配套建设灰渣库、燃料库等辅助工程，项目年烘干玉米</w:t>
            </w:r>
            <w:r>
              <w:rPr>
                <w:rFonts w:hint="eastAsia" w:cs="Times New Roman"/>
                <w:color w:val="auto"/>
                <w:sz w:val="24"/>
                <w:szCs w:val="24"/>
                <w:highlight w:val="none"/>
                <w:lang w:val="en-US" w:eastAsia="zh-CN"/>
              </w:rPr>
              <w:t>15</w:t>
            </w:r>
            <w:r>
              <w:rPr>
                <w:rFonts w:hint="default" w:ascii="Times New Roman" w:hAnsi="Times New Roman" w:cs="Times New Roman"/>
                <w:color w:val="auto"/>
                <w:sz w:val="24"/>
                <w:szCs w:val="24"/>
                <w:highlight w:val="none"/>
                <w:lang w:val="en-US" w:eastAsia="zh-CN"/>
              </w:rPr>
              <w:t>000吨。</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本项目具体组成内容详见下表2-1。</w:t>
            </w:r>
          </w:p>
          <w:p>
            <w:pPr>
              <w:pStyle w:val="80"/>
              <w:adjustRightInd/>
              <w:snapToGrid/>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 xml:space="preserve">2-1 </w:t>
            </w:r>
            <w:r>
              <w:rPr>
                <w:rFonts w:hint="default" w:ascii="Times New Roman" w:hAnsi="Times New Roman" w:cs="Times New Roman"/>
                <w:b/>
                <w:bCs/>
                <w:color w:val="auto"/>
                <w:sz w:val="21"/>
                <w:szCs w:val="21"/>
              </w:rPr>
              <w:t>建设项目组成一览表</w:t>
            </w:r>
          </w:p>
          <w:tbl>
            <w:tblPr>
              <w:tblStyle w:val="30"/>
              <w:tblW w:w="9381"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
            <w:tblGrid>
              <w:gridCol w:w="1228"/>
              <w:gridCol w:w="1169"/>
              <w:gridCol w:w="5593"/>
              <w:gridCol w:w="1391"/>
            </w:tblGrid>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2397" w:type="dxa"/>
                  <w:gridSpan w:val="2"/>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建设内容</w:t>
                  </w:r>
                </w:p>
              </w:tc>
              <w:tc>
                <w:tcPr>
                  <w:tcW w:w="559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建设规模及内容</w:t>
                  </w:r>
                </w:p>
              </w:tc>
              <w:tc>
                <w:tcPr>
                  <w:tcW w:w="1391"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restart"/>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主体工程</w:t>
                  </w:r>
                </w:p>
              </w:tc>
              <w:tc>
                <w:tcPr>
                  <w:tcW w:w="1169"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烘干塔</w:t>
                  </w:r>
                </w:p>
              </w:tc>
              <w:tc>
                <w:tcPr>
                  <w:tcW w:w="559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1座烘干塔。用于玉米的烘干，烘干能力为</w:t>
                  </w:r>
                  <w:r>
                    <w:rPr>
                      <w:rFonts w:hint="eastAsia" w:cs="Times New Roman"/>
                      <w:bCs/>
                      <w:color w:val="auto"/>
                      <w:sz w:val="21"/>
                      <w:szCs w:val="21"/>
                      <w:highlight w:val="none"/>
                      <w:lang w:val="en-US" w:eastAsia="zh-CN"/>
                    </w:rPr>
                    <w:t>5</w:t>
                  </w:r>
                  <w:r>
                    <w:rPr>
                      <w:rFonts w:hint="default" w:ascii="Times New Roman" w:hAnsi="Times New Roman" w:eastAsia="宋体" w:cs="Times New Roman"/>
                      <w:bCs/>
                      <w:color w:val="auto"/>
                      <w:sz w:val="21"/>
                      <w:szCs w:val="21"/>
                      <w:highlight w:val="none"/>
                      <w:lang w:val="en-US" w:eastAsia="zh-CN"/>
                    </w:rPr>
                    <w:t>00t/d</w:t>
                  </w:r>
                </w:p>
              </w:tc>
              <w:tc>
                <w:tcPr>
                  <w:tcW w:w="1391"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90" w:hRule="atLeast"/>
              </w:trPr>
              <w:tc>
                <w:tcPr>
                  <w:tcW w:w="1228"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p>
              </w:tc>
              <w:tc>
                <w:tcPr>
                  <w:tcW w:w="1169"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热风炉房</w:t>
                  </w:r>
                </w:p>
              </w:tc>
              <w:tc>
                <w:tcPr>
                  <w:tcW w:w="559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1座，砖混结构，建筑面积为</w:t>
                  </w:r>
                  <w:r>
                    <w:rPr>
                      <w:rFonts w:hint="eastAsia" w:cs="Times New Roman"/>
                      <w:bCs/>
                      <w:color w:val="auto"/>
                      <w:sz w:val="21"/>
                      <w:szCs w:val="21"/>
                      <w:highlight w:val="none"/>
                      <w:lang w:val="en-US" w:eastAsia="zh-CN"/>
                    </w:rPr>
                    <w:t>50</w:t>
                  </w:r>
                  <w:r>
                    <w:rPr>
                      <w:rFonts w:hint="default" w:ascii="Times New Roman" w:hAnsi="Times New Roman" w:eastAsia="宋体" w:cs="Times New Roman"/>
                      <w:bCs/>
                      <w:color w:val="auto"/>
                      <w:sz w:val="21"/>
                      <w:szCs w:val="21"/>
                      <w:highlight w:val="none"/>
                      <w:lang w:val="en-US" w:eastAsia="zh-CN"/>
                    </w:rPr>
                    <w:t>m</w:t>
                  </w:r>
                  <w:r>
                    <w:rPr>
                      <w:rFonts w:hint="default" w:ascii="Times New Roman" w:hAnsi="Times New Roman" w:eastAsia="宋体" w:cs="Times New Roman"/>
                      <w:bCs/>
                      <w:color w:val="auto"/>
                      <w:sz w:val="21"/>
                      <w:szCs w:val="21"/>
                      <w:highlight w:val="none"/>
                      <w:vertAlign w:val="superscript"/>
                      <w:lang w:val="en-US" w:eastAsia="zh-CN"/>
                    </w:rPr>
                    <w:t>2</w:t>
                  </w:r>
                  <w:r>
                    <w:rPr>
                      <w:rFonts w:hint="default" w:ascii="Times New Roman" w:hAnsi="Times New Roman" w:eastAsia="宋体" w:cs="Times New Roman"/>
                      <w:bCs/>
                      <w:color w:val="auto"/>
                      <w:sz w:val="21"/>
                      <w:szCs w:val="21"/>
                      <w:highlight w:val="none"/>
                      <w:lang w:val="en-US" w:eastAsia="zh-CN"/>
                    </w:rPr>
                    <w:t>，</w:t>
                  </w:r>
                  <w:r>
                    <w:rPr>
                      <w:rFonts w:hint="eastAsia" w:cs="Times New Roman"/>
                      <w:bCs/>
                      <w:color w:val="auto"/>
                      <w:sz w:val="21"/>
                      <w:szCs w:val="21"/>
                      <w:highlight w:val="none"/>
                      <w:lang w:val="en-US" w:eastAsia="zh-CN"/>
                    </w:rPr>
                    <w:t>设置一座720万</w:t>
                  </w:r>
                  <w:r>
                    <w:rPr>
                      <w:rFonts w:hint="default" w:ascii="Times New Roman" w:hAnsi="Times New Roman" w:eastAsia="宋体" w:cs="Times New Roman"/>
                      <w:color w:val="auto"/>
                      <w:sz w:val="21"/>
                      <w:szCs w:val="21"/>
                      <w:lang w:val="en-US" w:eastAsia="zh-CN"/>
                    </w:rPr>
                    <w:t>kcal/h</w:t>
                  </w:r>
                  <w:r>
                    <w:rPr>
                      <w:rFonts w:hint="eastAsia" w:cs="Times New Roman"/>
                      <w:color w:val="auto"/>
                      <w:sz w:val="21"/>
                      <w:szCs w:val="21"/>
                      <w:lang w:val="en-US" w:eastAsia="zh-CN"/>
                    </w:rPr>
                    <w:t>的热风炉，</w:t>
                  </w:r>
                  <w:r>
                    <w:rPr>
                      <w:rFonts w:hint="default" w:ascii="Times New Roman" w:hAnsi="Times New Roman" w:eastAsia="宋体" w:cs="Times New Roman"/>
                      <w:bCs/>
                      <w:color w:val="auto"/>
                      <w:sz w:val="21"/>
                      <w:szCs w:val="21"/>
                      <w:highlight w:val="none"/>
                      <w:lang w:val="en-US" w:eastAsia="zh-CN"/>
                    </w:rPr>
                    <w:t>热风炉采用低氮燃烧技术，配备布袋除尘器和15m高烟囱。</w:t>
                  </w:r>
                </w:p>
              </w:tc>
              <w:tc>
                <w:tcPr>
                  <w:tcW w:w="1391"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258" w:hRule="atLeast"/>
              </w:trPr>
              <w:tc>
                <w:tcPr>
                  <w:tcW w:w="1228" w:type="dxa"/>
                  <w:vMerge w:val="restart"/>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储运工程</w:t>
                  </w:r>
                </w:p>
              </w:tc>
              <w:tc>
                <w:tcPr>
                  <w:tcW w:w="1169"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晒场</w:t>
                  </w:r>
                </w:p>
              </w:tc>
              <w:tc>
                <w:tcPr>
                  <w:tcW w:w="5593"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建设一座晒场</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用于</w:t>
                  </w:r>
                  <w:r>
                    <w:rPr>
                      <w:rFonts w:hint="eastAsia" w:ascii="Times New Roman" w:hAnsi="Times New Roman" w:cs="Times New Roman"/>
                      <w:color w:val="auto"/>
                      <w:sz w:val="21"/>
                      <w:szCs w:val="21"/>
                      <w:highlight w:val="none"/>
                      <w:lang w:val="en-US" w:eastAsia="zh-CN"/>
                    </w:rPr>
                    <w:t>原粮</w:t>
                  </w:r>
                  <w:r>
                    <w:rPr>
                      <w:rFonts w:hint="eastAsia" w:cs="Times New Roman"/>
                      <w:color w:val="auto"/>
                      <w:sz w:val="21"/>
                      <w:szCs w:val="21"/>
                      <w:highlight w:val="none"/>
                      <w:lang w:val="en-US" w:eastAsia="zh-CN"/>
                    </w:rPr>
                    <w:t>储存</w:t>
                  </w:r>
                </w:p>
              </w:tc>
              <w:tc>
                <w:tcPr>
                  <w:tcW w:w="1391"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continue"/>
                  <w:tcBorders>
                    <w:tl2br w:val="nil"/>
                    <w:tr2bl w:val="nil"/>
                  </w:tcBorders>
                  <w:shd w:val="clear" w:color="auto" w:fill="auto"/>
                  <w:noWrap w:val="0"/>
                  <w:vAlign w:val="center"/>
                </w:tcPr>
                <w:p>
                  <w:pPr>
                    <w:widowControl/>
                    <w:spacing w:line="240" w:lineRule="auto"/>
                    <w:jc w:val="center"/>
                    <w:rPr>
                      <w:rFonts w:hint="default" w:ascii="Times New Roman" w:hAnsi="Times New Roman" w:eastAsia="宋体" w:cs="Times New Roman"/>
                      <w:color w:val="auto"/>
                      <w:sz w:val="21"/>
                      <w:szCs w:val="21"/>
                      <w:highlight w:val="none"/>
                    </w:rPr>
                  </w:pPr>
                </w:p>
              </w:tc>
              <w:tc>
                <w:tcPr>
                  <w:tcW w:w="1169"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灰渣</w:t>
                  </w:r>
                  <w:r>
                    <w:rPr>
                      <w:rFonts w:hint="default" w:ascii="Times New Roman" w:hAnsi="Times New Roman" w:eastAsia="宋体" w:cs="Times New Roman"/>
                      <w:color w:val="auto"/>
                      <w:sz w:val="21"/>
                      <w:szCs w:val="21"/>
                      <w:highlight w:val="none"/>
                      <w:lang w:eastAsia="zh-CN"/>
                    </w:rPr>
                    <w:t>库</w:t>
                  </w:r>
                </w:p>
              </w:tc>
              <w:tc>
                <w:tcPr>
                  <w:tcW w:w="5593" w:type="dxa"/>
                  <w:tcBorders>
                    <w:tl2br w:val="nil"/>
                    <w:tr2bl w:val="nil"/>
                  </w:tcBorders>
                  <w:shd w:val="clear" w:color="auto" w:fill="FFFFFF"/>
                  <w:noWrap w:val="0"/>
                  <w:vAlign w:val="center"/>
                </w:tcPr>
                <w:p>
                  <w:pPr>
                    <w:pStyle w:val="52"/>
                    <w:spacing w:line="240" w:lineRule="auto"/>
                    <w:ind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color w:val="auto"/>
                      <w:spacing w:val="-2"/>
                      <w:sz w:val="21"/>
                      <w:szCs w:val="21"/>
                      <w:highlight w:val="none"/>
                      <w:lang w:val="en-US" w:eastAsia="zh-CN"/>
                    </w:rPr>
                    <w:t>砖混结构，</w:t>
                  </w:r>
                  <w:r>
                    <w:rPr>
                      <w:rFonts w:hint="default" w:ascii="Times New Roman" w:hAnsi="Times New Roman" w:eastAsia="宋体" w:cs="Times New Roman"/>
                      <w:color w:val="auto"/>
                      <w:spacing w:val="-2"/>
                      <w:sz w:val="21"/>
                      <w:szCs w:val="21"/>
                      <w:highlight w:val="none"/>
                      <w:lang w:eastAsia="zh-CN"/>
                    </w:rPr>
                    <w:t>建筑面积为</w:t>
                  </w:r>
                  <w:r>
                    <w:rPr>
                      <w:rFonts w:hint="eastAsia" w:cs="Times New Roman"/>
                      <w:color w:val="auto"/>
                      <w:spacing w:val="-2"/>
                      <w:sz w:val="21"/>
                      <w:szCs w:val="21"/>
                      <w:highlight w:val="none"/>
                      <w:lang w:val="en-US" w:eastAsia="zh-CN"/>
                    </w:rPr>
                    <w:t>1</w:t>
                  </w:r>
                  <w:r>
                    <w:rPr>
                      <w:rFonts w:hint="default" w:ascii="Times New Roman" w:hAnsi="Times New Roman" w:eastAsia="宋体" w:cs="Times New Roman"/>
                      <w:color w:val="auto"/>
                      <w:spacing w:val="-2"/>
                      <w:sz w:val="21"/>
                      <w:szCs w:val="21"/>
                      <w:highlight w:val="none"/>
                      <w:lang w:val="en-US" w:eastAsia="zh-CN"/>
                    </w:rPr>
                    <w:t>0m</w:t>
                  </w:r>
                  <w:r>
                    <w:rPr>
                      <w:rFonts w:hint="default" w:ascii="Times New Roman" w:hAnsi="Times New Roman" w:eastAsia="宋体" w:cs="Times New Roman"/>
                      <w:color w:val="auto"/>
                      <w:spacing w:val="-2"/>
                      <w:sz w:val="21"/>
                      <w:szCs w:val="21"/>
                      <w:highlight w:val="none"/>
                      <w:vertAlign w:val="superscript"/>
                      <w:lang w:val="en-US" w:eastAsia="zh-CN"/>
                    </w:rPr>
                    <w:t>2</w:t>
                  </w:r>
                  <w:r>
                    <w:rPr>
                      <w:rFonts w:hint="default" w:ascii="Times New Roman" w:hAnsi="Times New Roman" w:eastAsia="宋体" w:cs="Times New Roman"/>
                      <w:color w:val="auto"/>
                      <w:spacing w:val="-2"/>
                      <w:sz w:val="21"/>
                      <w:szCs w:val="21"/>
                      <w:highlight w:val="none"/>
                      <w:lang w:val="en-US" w:eastAsia="zh-CN"/>
                    </w:rPr>
                    <w:t>，</w:t>
                  </w:r>
                  <w:r>
                    <w:rPr>
                      <w:rFonts w:hint="default" w:ascii="Times New Roman" w:hAnsi="Times New Roman" w:eastAsia="宋体" w:cs="Times New Roman"/>
                      <w:color w:val="auto"/>
                      <w:spacing w:val="-2"/>
                      <w:sz w:val="21"/>
                      <w:szCs w:val="21"/>
                      <w:highlight w:val="none"/>
                    </w:rPr>
                    <w:t>灰渣暂存于灰渣</w:t>
                  </w:r>
                  <w:r>
                    <w:rPr>
                      <w:rFonts w:hint="default" w:ascii="Times New Roman" w:hAnsi="Times New Roman" w:eastAsia="宋体" w:cs="Times New Roman"/>
                      <w:color w:val="auto"/>
                      <w:spacing w:val="-2"/>
                      <w:sz w:val="21"/>
                      <w:szCs w:val="21"/>
                      <w:highlight w:val="none"/>
                      <w:lang w:eastAsia="zh-CN"/>
                    </w:rPr>
                    <w:t>库内，最大存储能力为</w:t>
                  </w:r>
                  <w:r>
                    <w:rPr>
                      <w:rFonts w:hint="eastAsia" w:cs="Times New Roman"/>
                      <w:color w:val="auto"/>
                      <w:spacing w:val="-2"/>
                      <w:sz w:val="21"/>
                      <w:szCs w:val="21"/>
                      <w:highlight w:val="none"/>
                      <w:lang w:val="en-US" w:eastAsia="zh-CN"/>
                    </w:rPr>
                    <w:t>25</w:t>
                  </w:r>
                  <w:r>
                    <w:rPr>
                      <w:rFonts w:hint="default" w:ascii="Times New Roman" w:hAnsi="Times New Roman" w:eastAsia="宋体" w:cs="Times New Roman"/>
                      <w:color w:val="auto"/>
                      <w:spacing w:val="-2"/>
                      <w:sz w:val="21"/>
                      <w:szCs w:val="21"/>
                      <w:highlight w:val="none"/>
                      <w:lang w:val="en-US" w:eastAsia="zh-CN"/>
                    </w:rPr>
                    <w:t>t</w:t>
                  </w:r>
                  <w:r>
                    <w:rPr>
                      <w:rFonts w:hint="eastAsia" w:cs="Times New Roman"/>
                      <w:color w:val="auto"/>
                      <w:spacing w:val="-2"/>
                      <w:sz w:val="21"/>
                      <w:szCs w:val="21"/>
                      <w:highlight w:val="none"/>
                      <w:lang w:val="en-US" w:eastAsia="zh-CN"/>
                    </w:rPr>
                    <w:t>，转运周期3d</w:t>
                  </w:r>
                </w:p>
              </w:tc>
              <w:tc>
                <w:tcPr>
                  <w:tcW w:w="1391" w:type="dxa"/>
                  <w:tcBorders>
                    <w:tl2br w:val="nil"/>
                    <w:tr2bl w:val="nil"/>
                  </w:tcBorders>
                  <w:shd w:val="clear" w:color="auto" w:fill="FFFFFF"/>
                  <w:noWrap w:val="0"/>
                  <w:vAlign w:val="center"/>
                </w:tcPr>
                <w:p>
                  <w:pPr>
                    <w:spacing w:line="240" w:lineRule="auto"/>
                    <w:ind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continue"/>
                  <w:tcBorders>
                    <w:tl2br w:val="nil"/>
                    <w:tr2bl w:val="nil"/>
                  </w:tcBorders>
                  <w:shd w:val="clear" w:color="auto" w:fill="auto"/>
                  <w:noWrap w:val="0"/>
                  <w:vAlign w:val="center"/>
                </w:tcPr>
                <w:p>
                  <w:pPr>
                    <w:widowControl/>
                    <w:spacing w:line="240" w:lineRule="auto"/>
                    <w:jc w:val="center"/>
                    <w:rPr>
                      <w:rFonts w:hint="default" w:ascii="Times New Roman" w:hAnsi="Times New Roman" w:eastAsia="宋体" w:cs="Times New Roman"/>
                      <w:color w:val="auto"/>
                      <w:sz w:val="21"/>
                      <w:szCs w:val="21"/>
                      <w:highlight w:val="none"/>
                    </w:rPr>
                  </w:pPr>
                </w:p>
              </w:tc>
              <w:tc>
                <w:tcPr>
                  <w:tcW w:w="1169"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仓储库</w:t>
                  </w:r>
                </w:p>
              </w:tc>
              <w:tc>
                <w:tcPr>
                  <w:tcW w:w="5593"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color w:val="auto"/>
                      <w:sz w:val="21"/>
                      <w:szCs w:val="21"/>
                      <w:highlight w:val="none"/>
                      <w:lang w:val="en-US" w:eastAsia="zh-CN"/>
                    </w:rPr>
                    <w:t>钢结构，用于储存成品，</w:t>
                  </w:r>
                  <w:r>
                    <w:rPr>
                      <w:rFonts w:hint="eastAsia" w:ascii="Times New Roman" w:hAnsi="Times New Roman" w:cs="Times New Roman"/>
                      <w:color w:val="auto"/>
                      <w:sz w:val="21"/>
                      <w:szCs w:val="21"/>
                      <w:highlight w:val="none"/>
                      <w:lang w:val="en-US" w:eastAsia="zh-CN"/>
                    </w:rPr>
                    <w:t>建筑面积</w:t>
                  </w:r>
                  <w:r>
                    <w:rPr>
                      <w:rFonts w:hint="eastAsia" w:cs="Times New Roman"/>
                      <w:color w:val="auto"/>
                      <w:sz w:val="21"/>
                      <w:szCs w:val="21"/>
                      <w:highlight w:val="none"/>
                      <w:lang w:val="en-US" w:eastAsia="zh-CN"/>
                    </w:rPr>
                    <w:t>3600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2</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高度10m，</w:t>
                  </w:r>
                  <w:r>
                    <w:rPr>
                      <w:rFonts w:hint="default" w:ascii="Times New Roman" w:hAnsi="Times New Roman" w:eastAsia="宋体" w:cs="Times New Roman"/>
                      <w:color w:val="auto"/>
                      <w:sz w:val="21"/>
                      <w:szCs w:val="21"/>
                      <w:highlight w:val="none"/>
                      <w:vertAlign w:val="baseline"/>
                      <w:lang w:val="en-US" w:eastAsia="zh-CN"/>
                    </w:rPr>
                    <w:t>储存能力为</w:t>
                  </w:r>
                  <w:r>
                    <w:rPr>
                      <w:rFonts w:hint="eastAsia" w:cs="Times New Roman"/>
                      <w:color w:val="auto"/>
                      <w:sz w:val="21"/>
                      <w:szCs w:val="21"/>
                      <w:highlight w:val="none"/>
                      <w:vertAlign w:val="baseline"/>
                      <w:lang w:val="en-US" w:eastAsia="zh-CN"/>
                    </w:rPr>
                    <w:t>15000</w:t>
                  </w:r>
                  <w:r>
                    <w:rPr>
                      <w:rFonts w:hint="default" w:ascii="Times New Roman" w:hAnsi="Times New Roman" w:eastAsia="宋体" w:cs="Times New Roman"/>
                      <w:color w:val="auto"/>
                      <w:sz w:val="21"/>
                      <w:szCs w:val="21"/>
                      <w:highlight w:val="none"/>
                      <w:vertAlign w:val="baseline"/>
                      <w:lang w:val="en-US" w:eastAsia="zh-CN"/>
                    </w:rPr>
                    <w:t>t</w:t>
                  </w:r>
                  <w:r>
                    <w:rPr>
                      <w:rFonts w:hint="default" w:ascii="Times New Roman" w:hAnsi="Times New Roman" w:eastAsia="宋体" w:cs="Times New Roman"/>
                      <w:color w:val="auto"/>
                      <w:sz w:val="21"/>
                      <w:szCs w:val="21"/>
                      <w:highlight w:val="none"/>
                      <w:lang w:val="en-US" w:eastAsia="zh-CN"/>
                    </w:rPr>
                    <w:t>；</w:t>
                  </w:r>
                </w:p>
              </w:tc>
              <w:tc>
                <w:tcPr>
                  <w:tcW w:w="1391" w:type="dxa"/>
                  <w:tcBorders>
                    <w:tl2br w:val="nil"/>
                    <w:tr2bl w:val="nil"/>
                  </w:tcBorders>
                  <w:shd w:val="clear" w:color="auto" w:fill="FFFFFF"/>
                  <w:noWrap w:val="0"/>
                  <w:vAlign w:val="center"/>
                </w:tcPr>
                <w:p>
                  <w:pPr>
                    <w:spacing w:line="240" w:lineRule="auto"/>
                    <w:jc w:val="center"/>
                    <w:rPr>
                      <w:rFonts w:hint="eastAsia" w:ascii="Times New Roman" w:hAnsi="Times New Roman" w:eastAsia="宋体" w:cs="Times New Roman"/>
                      <w:bCs/>
                      <w:color w:val="auto"/>
                      <w:kern w:val="2"/>
                      <w:sz w:val="21"/>
                      <w:szCs w:val="21"/>
                      <w:highlight w:val="none"/>
                      <w:lang w:val="en-US" w:eastAsia="zh-CN" w:bidi="ar-SA"/>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430" w:hRule="atLeast"/>
              </w:trPr>
              <w:tc>
                <w:tcPr>
                  <w:tcW w:w="1228"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p>
              </w:tc>
              <w:tc>
                <w:tcPr>
                  <w:tcW w:w="1169"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燃料库</w:t>
                  </w:r>
                </w:p>
              </w:tc>
              <w:tc>
                <w:tcPr>
                  <w:tcW w:w="5593" w:type="dxa"/>
                  <w:tcBorders>
                    <w:tl2br w:val="nil"/>
                    <w:tr2bl w:val="nil"/>
                  </w:tcBorders>
                  <w:shd w:val="clear" w:color="auto" w:fill="FFFFFF"/>
                  <w:noWrap w:val="0"/>
                  <w:vAlign w:val="center"/>
                </w:tcPr>
                <w:p>
                  <w:pPr>
                    <w:pStyle w:val="52"/>
                    <w:spacing w:line="240" w:lineRule="auto"/>
                    <w:ind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color w:val="auto"/>
                      <w:spacing w:val="-2"/>
                      <w:sz w:val="21"/>
                      <w:szCs w:val="21"/>
                      <w:highlight w:val="none"/>
                      <w:lang w:val="en-US" w:eastAsia="zh-CN"/>
                    </w:rPr>
                    <w:t>砖混结构，</w:t>
                  </w:r>
                  <w:r>
                    <w:rPr>
                      <w:rFonts w:hint="default" w:ascii="Times New Roman" w:hAnsi="Times New Roman" w:eastAsia="宋体" w:cs="Times New Roman"/>
                      <w:color w:val="auto"/>
                      <w:spacing w:val="-2"/>
                      <w:sz w:val="21"/>
                      <w:szCs w:val="21"/>
                      <w:highlight w:val="none"/>
                      <w:lang w:eastAsia="zh-CN"/>
                    </w:rPr>
                    <w:t>建筑面积为</w:t>
                  </w:r>
                  <w:r>
                    <w:rPr>
                      <w:rFonts w:hint="eastAsia" w:cs="Times New Roman"/>
                      <w:color w:val="auto"/>
                      <w:spacing w:val="-2"/>
                      <w:sz w:val="21"/>
                      <w:szCs w:val="21"/>
                      <w:highlight w:val="none"/>
                      <w:lang w:val="en-US" w:eastAsia="zh-CN"/>
                    </w:rPr>
                    <w:t>1</w:t>
                  </w:r>
                  <w:r>
                    <w:rPr>
                      <w:rFonts w:hint="eastAsia" w:eastAsia="宋体" w:cs="Times New Roman"/>
                      <w:color w:val="auto"/>
                      <w:spacing w:val="-2"/>
                      <w:sz w:val="21"/>
                      <w:szCs w:val="21"/>
                      <w:highlight w:val="none"/>
                      <w:lang w:val="en-US" w:eastAsia="zh-CN"/>
                    </w:rPr>
                    <w:t>0</w:t>
                  </w:r>
                  <w:r>
                    <w:rPr>
                      <w:rFonts w:hint="default" w:ascii="Times New Roman" w:hAnsi="Times New Roman" w:eastAsia="宋体" w:cs="Times New Roman"/>
                      <w:color w:val="auto"/>
                      <w:spacing w:val="-2"/>
                      <w:sz w:val="21"/>
                      <w:szCs w:val="21"/>
                      <w:highlight w:val="none"/>
                      <w:lang w:val="en-US" w:eastAsia="zh-CN"/>
                    </w:rPr>
                    <w:t>m</w:t>
                  </w:r>
                  <w:r>
                    <w:rPr>
                      <w:rFonts w:hint="default" w:ascii="Times New Roman" w:hAnsi="Times New Roman" w:eastAsia="宋体" w:cs="Times New Roman"/>
                      <w:color w:val="auto"/>
                      <w:spacing w:val="-2"/>
                      <w:sz w:val="21"/>
                      <w:szCs w:val="21"/>
                      <w:highlight w:val="none"/>
                      <w:vertAlign w:val="superscript"/>
                      <w:lang w:val="en-US" w:eastAsia="zh-CN"/>
                    </w:rPr>
                    <w:t>2</w:t>
                  </w:r>
                  <w:r>
                    <w:rPr>
                      <w:rFonts w:hint="default" w:ascii="Times New Roman" w:hAnsi="Times New Roman" w:eastAsia="宋体" w:cs="Times New Roman"/>
                      <w:color w:val="auto"/>
                      <w:spacing w:val="-2"/>
                      <w:sz w:val="21"/>
                      <w:szCs w:val="21"/>
                      <w:highlight w:val="none"/>
                      <w:lang w:val="en-US" w:eastAsia="zh-CN"/>
                    </w:rPr>
                    <w:t>，</w:t>
                  </w:r>
                  <w:r>
                    <w:rPr>
                      <w:rFonts w:hint="default" w:ascii="Times New Roman" w:hAnsi="Times New Roman" w:eastAsia="宋体" w:cs="Times New Roman"/>
                      <w:color w:val="auto"/>
                      <w:spacing w:val="-2"/>
                      <w:sz w:val="21"/>
                      <w:szCs w:val="21"/>
                      <w:highlight w:val="none"/>
                      <w:lang w:eastAsia="zh-CN"/>
                    </w:rPr>
                    <w:t>燃料</w:t>
                  </w:r>
                  <w:r>
                    <w:rPr>
                      <w:rFonts w:hint="default" w:ascii="Times New Roman" w:hAnsi="Times New Roman" w:eastAsia="宋体" w:cs="Times New Roman"/>
                      <w:color w:val="auto"/>
                      <w:spacing w:val="-2"/>
                      <w:sz w:val="21"/>
                      <w:szCs w:val="21"/>
                      <w:highlight w:val="none"/>
                    </w:rPr>
                    <w:t>暂存于</w:t>
                  </w:r>
                  <w:r>
                    <w:rPr>
                      <w:rFonts w:hint="default" w:ascii="Times New Roman" w:hAnsi="Times New Roman" w:eastAsia="宋体" w:cs="Times New Roman"/>
                      <w:color w:val="auto"/>
                      <w:spacing w:val="-2"/>
                      <w:sz w:val="21"/>
                      <w:szCs w:val="21"/>
                      <w:highlight w:val="none"/>
                      <w:lang w:eastAsia="zh-CN"/>
                    </w:rPr>
                    <w:t>燃料库内，最大存储能力为</w:t>
                  </w:r>
                  <w:r>
                    <w:rPr>
                      <w:rFonts w:hint="eastAsia" w:cs="Times New Roman"/>
                      <w:color w:val="auto"/>
                      <w:spacing w:val="-2"/>
                      <w:sz w:val="21"/>
                      <w:szCs w:val="21"/>
                      <w:highlight w:val="none"/>
                      <w:lang w:val="en-US" w:eastAsia="zh-CN"/>
                    </w:rPr>
                    <w:t>50</w:t>
                  </w:r>
                  <w:r>
                    <w:rPr>
                      <w:rFonts w:hint="default" w:ascii="Times New Roman" w:hAnsi="Times New Roman" w:eastAsia="宋体" w:cs="Times New Roman"/>
                      <w:color w:val="auto"/>
                      <w:spacing w:val="-2"/>
                      <w:sz w:val="21"/>
                      <w:szCs w:val="21"/>
                      <w:highlight w:val="none"/>
                      <w:lang w:val="en-US" w:eastAsia="zh-CN"/>
                    </w:rPr>
                    <w:t>t</w:t>
                  </w:r>
                  <w:r>
                    <w:rPr>
                      <w:rFonts w:hint="eastAsia" w:cs="Times New Roman"/>
                      <w:color w:val="auto"/>
                      <w:spacing w:val="-2"/>
                      <w:sz w:val="21"/>
                      <w:szCs w:val="21"/>
                      <w:highlight w:val="none"/>
                      <w:lang w:val="en-US" w:eastAsia="zh-CN"/>
                    </w:rPr>
                    <w:t>，转运周期1d</w:t>
                  </w:r>
                </w:p>
              </w:tc>
              <w:tc>
                <w:tcPr>
                  <w:tcW w:w="1391" w:type="dxa"/>
                  <w:tcBorders>
                    <w:tl2br w:val="nil"/>
                    <w:tr2bl w:val="nil"/>
                  </w:tcBorders>
                  <w:shd w:val="clear" w:color="auto" w:fill="FFFFFF"/>
                  <w:noWrap w:val="0"/>
                  <w:vAlign w:val="center"/>
                </w:tcPr>
                <w:p>
                  <w:pPr>
                    <w:spacing w:line="240" w:lineRule="auto"/>
                    <w:ind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430" w:hRule="atLeast"/>
              </w:trPr>
              <w:tc>
                <w:tcPr>
                  <w:tcW w:w="1228" w:type="dxa"/>
                  <w:vMerge w:val="restart"/>
                  <w:tcBorders>
                    <w:tl2br w:val="nil"/>
                    <w:tr2bl w:val="nil"/>
                  </w:tcBorders>
                  <w:shd w:val="clear" w:color="auto" w:fill="auto"/>
                  <w:noWrap w:val="0"/>
                  <w:vAlign w:val="center"/>
                </w:tcPr>
                <w:p>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辅助工程</w:t>
                  </w:r>
                </w:p>
              </w:tc>
              <w:tc>
                <w:tcPr>
                  <w:tcW w:w="1169"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实验室</w:t>
                  </w:r>
                </w:p>
              </w:tc>
              <w:tc>
                <w:tcPr>
                  <w:tcW w:w="5593"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对成品粮食进行检验，为物理实验，不产生废水、废气等</w:t>
                  </w:r>
                </w:p>
              </w:tc>
              <w:tc>
                <w:tcPr>
                  <w:tcW w:w="1391" w:type="dxa"/>
                  <w:tcBorders>
                    <w:tl2br w:val="nil"/>
                    <w:tr2bl w:val="nil"/>
                  </w:tcBorders>
                  <w:shd w:val="clear" w:color="auto" w:fill="FFFFFF"/>
                  <w:noWrap w:val="0"/>
                  <w:vAlign w:val="center"/>
                </w:tcPr>
                <w:p>
                  <w:pPr>
                    <w:spacing w:line="240" w:lineRule="auto"/>
                    <w:jc w:val="center"/>
                    <w:rPr>
                      <w:rFonts w:hint="eastAsia" w:cs="Times New Roman"/>
                      <w:bCs/>
                      <w:color w:val="auto"/>
                      <w:kern w:val="2"/>
                      <w:sz w:val="21"/>
                      <w:szCs w:val="21"/>
                      <w:highlight w:val="none"/>
                      <w:lang w:val="en-US" w:eastAsia="zh-CN" w:bidi="ar-SA"/>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430" w:hRule="atLeast"/>
              </w:trPr>
              <w:tc>
                <w:tcPr>
                  <w:tcW w:w="1228" w:type="dxa"/>
                  <w:vMerge w:val="continue"/>
                  <w:tcBorders>
                    <w:tl2br w:val="nil"/>
                    <w:tr2bl w:val="nil"/>
                  </w:tcBorders>
                  <w:shd w:val="clear" w:color="auto" w:fill="auto"/>
                  <w:noWrap w:val="0"/>
                  <w:vAlign w:val="center"/>
                </w:tcPr>
                <w:p>
                  <w:pPr>
                    <w:spacing w:line="240" w:lineRule="auto"/>
                    <w:jc w:val="center"/>
                    <w:rPr>
                      <w:rFonts w:hint="eastAsia" w:cs="Times New Roman"/>
                      <w:bCs/>
                      <w:color w:val="auto"/>
                      <w:sz w:val="21"/>
                      <w:szCs w:val="21"/>
                      <w:highlight w:val="none"/>
                      <w:lang w:val="en-US" w:eastAsia="zh-CN"/>
                    </w:rPr>
                  </w:pPr>
                </w:p>
              </w:tc>
              <w:tc>
                <w:tcPr>
                  <w:tcW w:w="1169"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门卫</w:t>
                  </w:r>
                </w:p>
              </w:tc>
              <w:tc>
                <w:tcPr>
                  <w:tcW w:w="5593"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设置门卫一座，建筑面积20m</w:t>
                  </w:r>
                  <w:r>
                    <w:rPr>
                      <w:rFonts w:hint="eastAsia" w:cs="Times New Roman"/>
                      <w:color w:val="auto"/>
                      <w:sz w:val="21"/>
                      <w:szCs w:val="21"/>
                      <w:highlight w:val="none"/>
                      <w:vertAlign w:val="superscript"/>
                      <w:lang w:val="en-US" w:eastAsia="zh-CN"/>
                    </w:rPr>
                    <w:t>2</w:t>
                  </w:r>
                </w:p>
              </w:tc>
              <w:tc>
                <w:tcPr>
                  <w:tcW w:w="1391" w:type="dxa"/>
                  <w:tcBorders>
                    <w:tl2br w:val="nil"/>
                    <w:tr2bl w:val="nil"/>
                  </w:tcBorders>
                  <w:shd w:val="clear" w:color="auto" w:fill="FFFFFF"/>
                  <w:noWrap w:val="0"/>
                  <w:vAlign w:val="center"/>
                </w:tcPr>
                <w:p>
                  <w:pPr>
                    <w:spacing w:line="240" w:lineRule="auto"/>
                    <w:jc w:val="center"/>
                    <w:rPr>
                      <w:rFonts w:hint="eastAsia" w:cs="Times New Roman"/>
                      <w:bCs/>
                      <w:color w:val="auto"/>
                      <w:sz w:val="21"/>
                      <w:szCs w:val="21"/>
                      <w:highlight w:val="none"/>
                      <w:lang w:val="en-US"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restar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公用工程</w:t>
                  </w:r>
                </w:p>
              </w:tc>
              <w:tc>
                <w:tcPr>
                  <w:tcW w:w="1169"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供水</w:t>
                  </w:r>
                </w:p>
              </w:tc>
              <w:tc>
                <w:tcPr>
                  <w:tcW w:w="559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项目无生产用水，生活用水</w:t>
                  </w:r>
                  <w:r>
                    <w:rPr>
                      <w:rFonts w:hint="eastAsia" w:ascii="Times New Roman" w:hAnsi="Times New Roman" w:eastAsia="宋体" w:cs="Times New Roman"/>
                      <w:color w:val="auto"/>
                      <w:sz w:val="21"/>
                      <w:szCs w:val="21"/>
                      <w:highlight w:val="none"/>
                      <w:lang w:val="en-US" w:eastAsia="zh-CN"/>
                    </w:rPr>
                    <w:t>外购桶装水</w:t>
                  </w:r>
                </w:p>
              </w:tc>
              <w:tc>
                <w:tcPr>
                  <w:tcW w:w="1391"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169"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排水</w:t>
                  </w:r>
                </w:p>
              </w:tc>
              <w:tc>
                <w:tcPr>
                  <w:tcW w:w="559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本项目设置一座220m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初期雨水收集池</w:t>
                  </w:r>
                  <w:r>
                    <w:rPr>
                      <w:rFonts w:hint="default" w:ascii="Times New Roman" w:hAnsi="Times New Roman" w:eastAsia="宋体" w:cs="Times New Roman"/>
                      <w:color w:val="auto"/>
                      <w:sz w:val="21"/>
                      <w:szCs w:val="21"/>
                      <w:highlight w:val="none"/>
                      <w:lang w:eastAsia="zh-CN"/>
                    </w:rPr>
                    <w:t>，</w:t>
                  </w:r>
                  <w:r>
                    <w:rPr>
                      <w:rFonts w:hint="eastAsia" w:cs="Times New Roman"/>
                      <w:color w:val="auto"/>
                      <w:sz w:val="21"/>
                      <w:szCs w:val="21"/>
                      <w:highlight w:val="none"/>
                      <w:lang w:val="en-US" w:eastAsia="zh-CN"/>
                    </w:rPr>
                    <w:t>初期雨水沉淀后用于灰渣降尘，</w:t>
                  </w:r>
                  <w:r>
                    <w:rPr>
                      <w:rFonts w:hint="default" w:ascii="Times New Roman" w:hAnsi="Times New Roman" w:eastAsia="宋体" w:cs="Times New Roman"/>
                      <w:color w:val="auto"/>
                      <w:sz w:val="21"/>
                      <w:szCs w:val="21"/>
                      <w:highlight w:val="none"/>
                      <w:lang w:eastAsia="zh-CN"/>
                    </w:rPr>
                    <w:t>员工</w:t>
                  </w:r>
                  <w:r>
                    <w:rPr>
                      <w:rFonts w:hint="eastAsia" w:ascii="Times New Roman" w:hAnsi="Times New Roman" w:eastAsia="宋体" w:cs="Times New Roman"/>
                      <w:color w:val="auto"/>
                      <w:kern w:val="0"/>
                      <w:sz w:val="21"/>
                      <w:szCs w:val="21"/>
                      <w:highlight w:val="none"/>
                      <w:lang w:val="en-US" w:eastAsia="zh-CN"/>
                    </w:rPr>
                    <w:t>生活污水</w:t>
                  </w:r>
                  <w:r>
                    <w:rPr>
                      <w:rFonts w:hint="default" w:ascii="Times New Roman" w:hAnsi="Times New Roman" w:eastAsia="宋体" w:cs="Times New Roman"/>
                      <w:color w:val="auto"/>
                      <w:sz w:val="21"/>
                      <w:szCs w:val="21"/>
                      <w:highlight w:val="none"/>
                      <w:lang w:val="en-US" w:eastAsia="zh-CN"/>
                    </w:rPr>
                    <w:t>排入防渗旱厕，定期清掏外运堆肥。</w:t>
                  </w:r>
                </w:p>
              </w:tc>
              <w:tc>
                <w:tcPr>
                  <w:tcW w:w="1391"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lang w:val="en-US"/>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169"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yellow"/>
                    </w:rPr>
                  </w:pPr>
                  <w:r>
                    <w:rPr>
                      <w:rFonts w:hint="default" w:ascii="Times New Roman" w:hAnsi="Times New Roman" w:eastAsia="宋体" w:cs="Times New Roman"/>
                      <w:color w:val="auto"/>
                      <w:sz w:val="21"/>
                      <w:szCs w:val="21"/>
                      <w:highlight w:val="none"/>
                    </w:rPr>
                    <w:t>供热</w:t>
                  </w:r>
                </w:p>
              </w:tc>
              <w:tc>
                <w:tcPr>
                  <w:tcW w:w="559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生产供热由一台</w:t>
                  </w:r>
                  <w:r>
                    <w:rPr>
                      <w:rFonts w:hint="eastAsia" w:cs="Times New Roman"/>
                      <w:color w:val="auto"/>
                      <w:sz w:val="21"/>
                      <w:szCs w:val="21"/>
                      <w:highlight w:val="none"/>
                      <w:lang w:val="en-US" w:eastAsia="zh-CN"/>
                    </w:rPr>
                    <w:t>720万kcal/h</w:t>
                  </w:r>
                  <w:r>
                    <w:rPr>
                      <w:rFonts w:hint="default" w:ascii="Times New Roman" w:hAnsi="Times New Roman" w:eastAsia="宋体" w:cs="Times New Roman"/>
                      <w:color w:val="auto"/>
                      <w:sz w:val="21"/>
                      <w:szCs w:val="21"/>
                      <w:highlight w:val="none"/>
                      <w:lang w:val="en-US" w:eastAsia="zh-CN"/>
                    </w:rPr>
                    <w:t>燃生物质热风炉提供</w:t>
                  </w:r>
                </w:p>
              </w:tc>
              <w:tc>
                <w:tcPr>
                  <w:tcW w:w="1391"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169"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供电</w:t>
                  </w:r>
                </w:p>
              </w:tc>
              <w:tc>
                <w:tcPr>
                  <w:tcW w:w="559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用电由</w:t>
                  </w:r>
                  <w:r>
                    <w:rPr>
                      <w:rFonts w:hint="default" w:ascii="Times New Roman" w:hAnsi="Times New Roman" w:eastAsia="宋体" w:cs="Times New Roman"/>
                      <w:color w:val="auto"/>
                      <w:sz w:val="21"/>
                      <w:szCs w:val="21"/>
                      <w:highlight w:val="none"/>
                      <w:lang w:val="en-US" w:eastAsia="zh-CN"/>
                    </w:rPr>
                    <w:t>国家电网</w:t>
                  </w:r>
                  <w:r>
                    <w:rPr>
                      <w:rFonts w:hint="default" w:ascii="Times New Roman" w:hAnsi="Times New Roman" w:eastAsia="宋体" w:cs="Times New Roman"/>
                      <w:color w:val="auto"/>
                      <w:sz w:val="21"/>
                      <w:szCs w:val="21"/>
                      <w:highlight w:val="none"/>
                      <w:lang w:eastAsia="zh-CN"/>
                    </w:rPr>
                    <w:t>提供</w:t>
                  </w:r>
                </w:p>
              </w:tc>
              <w:tc>
                <w:tcPr>
                  <w:tcW w:w="1391"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lang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90" w:hRule="atLeast"/>
              </w:trPr>
              <w:tc>
                <w:tcPr>
                  <w:tcW w:w="1228" w:type="dxa"/>
                  <w:vMerge w:val="restar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环保工程</w:t>
                  </w:r>
                </w:p>
              </w:tc>
              <w:tc>
                <w:tcPr>
                  <w:tcW w:w="1169" w:type="dxa"/>
                  <w:vMerge w:val="restar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废气防治措施</w:t>
                  </w:r>
                </w:p>
              </w:tc>
              <w:tc>
                <w:tcPr>
                  <w:tcW w:w="5593" w:type="dxa"/>
                  <w:tcBorders>
                    <w:tl2br w:val="nil"/>
                    <w:tr2bl w:val="nil"/>
                  </w:tcBorders>
                  <w:noWrap w:val="0"/>
                  <w:vAlign w:val="center"/>
                </w:tcPr>
                <w:p>
                  <w:pPr>
                    <w:keepNext w:val="0"/>
                    <w:keepLines w:val="0"/>
                    <w:widowControl/>
                    <w:suppressLineNumbers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施工期</w:t>
                  </w:r>
                  <w:r>
                    <w:rPr>
                      <w:rFonts w:hint="eastAsia"/>
                      <w:color w:val="auto"/>
                      <w:sz w:val="21"/>
                      <w:szCs w:val="21"/>
                      <w:lang w:val="en-US" w:eastAsia="zh-CN"/>
                    </w:rPr>
                    <w:t>施工场地设置围挡，地面进行硬化，</w:t>
                  </w:r>
                  <w:r>
                    <w:rPr>
                      <w:rFonts w:hint="eastAsia"/>
                      <w:color w:val="auto"/>
                      <w:sz w:val="21"/>
                      <w:szCs w:val="21"/>
                    </w:rPr>
                    <w:t>施工场地洒水抑尘，</w:t>
                  </w:r>
                  <w:r>
                    <w:rPr>
                      <w:rFonts w:hint="eastAsia"/>
                      <w:color w:val="auto"/>
                      <w:sz w:val="21"/>
                      <w:szCs w:val="21"/>
                      <w:lang w:val="en-US" w:eastAsia="zh-CN"/>
                    </w:rPr>
                    <w:t>进出车辆进行冲洗，运输车辆采用苫布苫盖</w:t>
                  </w:r>
                  <w:r>
                    <w:rPr>
                      <w:rFonts w:hint="eastAsia" w:cs="Times New Roman"/>
                      <w:color w:val="auto"/>
                      <w:sz w:val="18"/>
                      <w:szCs w:val="18"/>
                      <w:highlight w:val="none"/>
                      <w:lang w:val="en-US" w:eastAsia="zh-CN"/>
                    </w:rPr>
                    <w:t>，</w:t>
                  </w:r>
                  <w:r>
                    <w:rPr>
                      <w:rFonts w:hint="eastAsia" w:cs="Times New Roman"/>
                      <w:color w:val="auto"/>
                      <w:sz w:val="21"/>
                      <w:szCs w:val="21"/>
                      <w:highlight w:val="none"/>
                      <w:lang w:val="en-US" w:eastAsia="zh-CN"/>
                    </w:rPr>
                    <w:t>施工期厂界颗粒物满足《大气污染物综合排放标准》（GB16297-1996）表2中无组织排放浓度监控限值要求，</w:t>
                  </w:r>
                  <w:r>
                    <w:rPr>
                      <w:rFonts w:hint="default" w:ascii="Times New Roman" w:hAnsi="Times New Roman" w:eastAsia="宋体" w:cs="Times New Roman"/>
                      <w:color w:val="auto"/>
                      <w:sz w:val="21"/>
                      <w:szCs w:val="21"/>
                      <w:highlight w:val="none"/>
                      <w:lang w:eastAsia="zh-CN"/>
                    </w:rPr>
                    <w:t>热风炉采用低氮燃烧技术，烟气</w:t>
                  </w:r>
                  <w:r>
                    <w:rPr>
                      <w:rFonts w:hint="default" w:ascii="Times New Roman" w:hAnsi="Times New Roman" w:eastAsia="宋体" w:cs="Times New Roman"/>
                      <w:bCs/>
                      <w:color w:val="auto"/>
                      <w:sz w:val="21"/>
                      <w:szCs w:val="21"/>
                      <w:highlight w:val="none"/>
                    </w:rPr>
                    <w:t>经</w:t>
                  </w:r>
                  <w:r>
                    <w:rPr>
                      <w:rFonts w:hint="default" w:ascii="Times New Roman" w:hAnsi="Times New Roman" w:eastAsia="宋体" w:cs="Times New Roman"/>
                      <w:bCs/>
                      <w:color w:val="auto"/>
                      <w:sz w:val="21"/>
                      <w:szCs w:val="21"/>
                      <w:highlight w:val="none"/>
                      <w:lang w:eastAsia="zh-CN"/>
                    </w:rPr>
                    <w:t>布袋除尘器处理后由</w:t>
                  </w:r>
                  <w:r>
                    <w:rPr>
                      <w:rFonts w:hint="default" w:ascii="Times New Roman" w:hAnsi="Times New Roman" w:eastAsia="宋体" w:cs="Times New Roman"/>
                      <w:bCs/>
                      <w:color w:val="auto"/>
                      <w:sz w:val="21"/>
                      <w:szCs w:val="21"/>
                      <w:highlight w:val="none"/>
                    </w:rPr>
                    <w:t>15m高</w:t>
                  </w:r>
                  <w:r>
                    <w:rPr>
                      <w:rFonts w:hint="default" w:ascii="Times New Roman" w:hAnsi="Times New Roman" w:eastAsia="宋体" w:cs="Times New Roman"/>
                      <w:bCs/>
                      <w:color w:val="auto"/>
                      <w:sz w:val="21"/>
                      <w:szCs w:val="21"/>
                      <w:highlight w:val="none"/>
                      <w:lang w:eastAsia="zh-CN"/>
                    </w:rPr>
                    <w:t>烟囱</w:t>
                  </w:r>
                  <w:r>
                    <w:rPr>
                      <w:rFonts w:hint="default" w:ascii="Times New Roman" w:hAnsi="Times New Roman" w:eastAsia="宋体" w:cs="Times New Roman"/>
                      <w:bCs/>
                      <w:color w:val="auto"/>
                      <w:sz w:val="21"/>
                      <w:szCs w:val="21"/>
                      <w:highlight w:val="none"/>
                    </w:rPr>
                    <w:t>高空排放</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kern w:val="0"/>
                      <w:sz w:val="21"/>
                      <w:szCs w:val="21"/>
                      <w:highlight w:val="none"/>
                      <w:lang w:val="en-US" w:eastAsia="zh-CN" w:bidi="ar"/>
                    </w:rPr>
                    <w:t>烟尘、SO</w:t>
                  </w:r>
                  <w:r>
                    <w:rPr>
                      <w:rFonts w:hint="default" w:ascii="Times New Roman" w:hAnsi="Times New Roman" w:eastAsia="宋体" w:cs="Times New Roman"/>
                      <w:color w:val="auto"/>
                      <w:kern w:val="0"/>
                      <w:sz w:val="21"/>
                      <w:szCs w:val="21"/>
                      <w:highlight w:val="none"/>
                      <w:vertAlign w:val="subscript"/>
                      <w:lang w:val="en-US" w:eastAsia="zh-CN" w:bidi="ar"/>
                    </w:rPr>
                    <w:t>2</w:t>
                  </w:r>
                  <w:r>
                    <w:rPr>
                      <w:rFonts w:hint="default" w:ascii="Times New Roman" w:hAnsi="Times New Roman" w:eastAsia="宋体" w:cs="Times New Roman"/>
                      <w:color w:val="auto"/>
                      <w:kern w:val="0"/>
                      <w:sz w:val="21"/>
                      <w:szCs w:val="21"/>
                      <w:highlight w:val="none"/>
                      <w:vertAlign w:val="baseline"/>
                      <w:lang w:val="en-US" w:eastAsia="zh-CN" w:bidi="ar"/>
                    </w:rPr>
                    <w:t>、烟气黑度均</w:t>
                  </w:r>
                  <w:r>
                    <w:rPr>
                      <w:rFonts w:hint="default" w:ascii="Times New Roman" w:hAnsi="Times New Roman" w:eastAsia="宋体" w:cs="Times New Roman"/>
                      <w:color w:val="auto"/>
                      <w:kern w:val="0"/>
                      <w:sz w:val="21"/>
                      <w:szCs w:val="21"/>
                      <w:highlight w:val="none"/>
                      <w:lang w:val="en-US" w:eastAsia="zh-CN" w:bidi="ar"/>
                    </w:rPr>
                    <w:t>满足《工业炉窑大气污染物排放标准》(GB9078-1996)中标准要求</w:t>
                  </w:r>
                  <w:r>
                    <w:rPr>
                      <w:rFonts w:hint="eastAsia" w:ascii="宋体" w:hAnsi="宋体" w:eastAsia="宋体" w:cs="宋体"/>
                      <w:color w:val="auto"/>
                      <w:kern w:val="0"/>
                      <w:sz w:val="21"/>
                      <w:szCs w:val="21"/>
                      <w:highlight w:val="none"/>
                      <w:lang w:val="en-US" w:eastAsia="zh-CN" w:bidi="ar"/>
                    </w:rPr>
                    <w:t xml:space="preserve">（烟尘 </w:t>
                  </w:r>
                  <w:r>
                    <w:rPr>
                      <w:rFonts w:hint="default" w:ascii="Times New Roman" w:hAnsi="Times New Roman" w:eastAsia="宋体" w:cs="Times New Roman"/>
                      <w:color w:val="auto"/>
                      <w:kern w:val="0"/>
                      <w:sz w:val="21"/>
                      <w:szCs w:val="21"/>
                      <w:highlight w:val="none"/>
                      <w:lang w:val="en-US" w:eastAsia="zh-CN" w:bidi="ar"/>
                    </w:rPr>
                    <w:t>200mg/m</w:t>
                  </w:r>
                  <w:r>
                    <w:rPr>
                      <w:rFonts w:hint="default" w:ascii="Times New Roman" w:hAnsi="Times New Roman" w:eastAsia="宋体" w:cs="Times New Roman"/>
                      <w:color w:val="auto"/>
                      <w:kern w:val="0"/>
                      <w:sz w:val="21"/>
                      <w:szCs w:val="21"/>
                      <w:highlight w:val="none"/>
                      <w:vertAlign w:val="superscript"/>
                      <w:lang w:val="en-US" w:eastAsia="zh-CN" w:bidi="ar"/>
                    </w:rPr>
                    <w:t>3</w:t>
                  </w: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SO</w:t>
                  </w:r>
                  <w:r>
                    <w:rPr>
                      <w:rFonts w:hint="default" w:ascii="Times New Roman" w:hAnsi="Times New Roman" w:eastAsia="宋体" w:cs="Times New Roman"/>
                      <w:color w:val="auto"/>
                      <w:kern w:val="0"/>
                      <w:sz w:val="21"/>
                      <w:szCs w:val="21"/>
                      <w:highlight w:val="none"/>
                      <w:vertAlign w:val="subscript"/>
                      <w:lang w:val="en-US" w:eastAsia="zh-CN" w:bidi="ar"/>
                    </w:rPr>
                    <w:t>2</w:t>
                  </w:r>
                  <w:r>
                    <w:rPr>
                      <w:rFonts w:hint="default" w:ascii="Times New Roman" w:hAnsi="Times New Roman" w:eastAsia="宋体" w:cs="Times New Roman"/>
                      <w:color w:val="auto"/>
                      <w:kern w:val="0"/>
                      <w:sz w:val="21"/>
                      <w:szCs w:val="21"/>
                      <w:highlight w:val="none"/>
                      <w:lang w:val="en-US" w:eastAsia="zh-CN" w:bidi="ar"/>
                    </w:rPr>
                    <w:t xml:space="preserve"> 850mg/m</w:t>
                  </w:r>
                  <w:r>
                    <w:rPr>
                      <w:rFonts w:hint="default" w:ascii="Times New Roman" w:hAnsi="Times New Roman" w:eastAsia="宋体" w:cs="Times New Roman"/>
                      <w:color w:val="auto"/>
                      <w:kern w:val="0"/>
                      <w:sz w:val="21"/>
                      <w:szCs w:val="21"/>
                      <w:highlight w:val="none"/>
                      <w:vertAlign w:val="superscript"/>
                      <w:lang w:val="en-US" w:eastAsia="zh-CN" w:bidi="ar"/>
                    </w:rPr>
                    <w:t>3</w:t>
                  </w:r>
                  <w:r>
                    <w:rPr>
                      <w:rFonts w:hint="eastAsia" w:ascii="Times New Roman" w:hAnsi="Times New Roman" w:eastAsia="宋体" w:cs="Times New Roman"/>
                      <w:color w:val="auto"/>
                      <w:kern w:val="0"/>
                      <w:sz w:val="21"/>
                      <w:szCs w:val="21"/>
                      <w:highlight w:val="none"/>
                      <w:vertAlign w:val="baseline"/>
                      <w:lang w:val="en-US" w:eastAsia="zh-CN" w:bidi="ar"/>
                    </w:rPr>
                    <w:t>、烟气黑度（林格曼级）1</w:t>
                  </w:r>
                  <w:r>
                    <w:rPr>
                      <w:rFonts w:hint="eastAsia" w:ascii="宋体" w:hAnsi="宋体" w:eastAsia="宋体" w:cs="宋体"/>
                      <w:color w:val="auto"/>
                      <w:kern w:val="0"/>
                      <w:sz w:val="21"/>
                      <w:szCs w:val="21"/>
                      <w:highlight w:val="none"/>
                      <w:lang w:val="en-US" w:eastAsia="zh-CN" w:bidi="ar"/>
                    </w:rPr>
                    <w:t>）</w:t>
                  </w:r>
                  <w:r>
                    <w:rPr>
                      <w:rFonts w:hint="eastAsia" w:ascii="宋体" w:hAnsi="宋体" w:cs="宋体"/>
                      <w:color w:val="auto"/>
                      <w:kern w:val="0"/>
                      <w:sz w:val="21"/>
                      <w:szCs w:val="21"/>
                      <w:highlight w:val="none"/>
                      <w:lang w:val="en-US" w:eastAsia="zh-CN" w:bidi="ar"/>
                    </w:rPr>
                    <w:t>，</w:t>
                  </w:r>
                  <w:r>
                    <w:rPr>
                      <w:rFonts w:hint="eastAsia" w:cs="Times New Roman"/>
                      <w:color w:val="auto"/>
                      <w:sz w:val="21"/>
                      <w:szCs w:val="21"/>
                      <w:highlight w:val="none"/>
                      <w:lang w:val="en-US" w:eastAsia="zh-CN"/>
                    </w:rPr>
                    <w:t>工业炉窑周边无组织颗粒物满足</w:t>
                  </w:r>
                  <w:r>
                    <w:rPr>
                      <w:rFonts w:hint="default" w:ascii="Times New Roman" w:hAnsi="Times New Roman" w:eastAsia="宋体" w:cs="Times New Roman"/>
                      <w:color w:val="auto"/>
                      <w:kern w:val="0"/>
                      <w:sz w:val="21"/>
                      <w:szCs w:val="21"/>
                      <w:highlight w:val="none"/>
                      <w:lang w:val="en-US" w:eastAsia="zh-CN" w:bidi="ar"/>
                    </w:rPr>
                    <w:t>《工业炉窑大气污染物排放标准》(GB9078-1996)</w:t>
                  </w:r>
                  <w:r>
                    <w:rPr>
                      <w:rFonts w:hint="eastAsia" w:ascii="Times New Roman" w:hAnsi="Times New Roman" w:eastAsia="宋体" w:cs="Times New Roman"/>
                      <w:color w:val="auto"/>
                      <w:kern w:val="0"/>
                      <w:sz w:val="21"/>
                      <w:szCs w:val="21"/>
                      <w:highlight w:val="none"/>
                      <w:lang w:val="en-US" w:eastAsia="zh-CN" w:bidi="ar"/>
                    </w:rPr>
                    <w:t>要求</w:t>
                  </w:r>
                </w:p>
              </w:tc>
              <w:tc>
                <w:tcPr>
                  <w:tcW w:w="1391" w:type="dxa"/>
                  <w:tcBorders>
                    <w:tl2br w:val="nil"/>
                    <w:tr2bl w:val="nil"/>
                  </w:tcBorders>
                  <w:noWrap w:val="0"/>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1107" w:hRule="atLeast"/>
              </w:trPr>
              <w:tc>
                <w:tcPr>
                  <w:tcW w:w="1228"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169"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5593" w:type="dxa"/>
                  <w:tcBorders>
                    <w:tl2br w:val="nil"/>
                    <w:tr2bl w:val="nil"/>
                  </w:tcBorders>
                  <w:noWrap w:val="0"/>
                  <w:vAlign w:val="center"/>
                </w:tcPr>
                <w:p>
                  <w:pPr>
                    <w:keepNext w:val="0"/>
                    <w:keepLines w:val="0"/>
                    <w:widowControl/>
                    <w:suppressLineNumbers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仓库密闭、减小装卸高度；清选工艺采用封闭式清理筛，</w:t>
                  </w:r>
                  <w:r>
                    <w:rPr>
                      <w:rFonts w:hint="default" w:ascii="Times New Roman" w:hAnsi="Times New Roman" w:eastAsia="宋体" w:cs="Times New Roman"/>
                      <w:bCs/>
                      <w:color w:val="auto"/>
                      <w:sz w:val="21"/>
                      <w:szCs w:val="21"/>
                      <w:highlight w:val="none"/>
                      <w:lang w:eastAsia="zh-CN"/>
                    </w:rPr>
                    <w:t>烘干塔烘干废气经</w:t>
                  </w:r>
                  <w:r>
                    <w:rPr>
                      <w:rFonts w:hint="default" w:ascii="Times New Roman" w:hAnsi="Times New Roman" w:eastAsia="宋体" w:cs="Times New Roman"/>
                      <w:color w:val="auto"/>
                      <w:sz w:val="21"/>
                      <w:szCs w:val="21"/>
                      <w:highlight w:val="none"/>
                      <w:lang w:val="en-US" w:eastAsia="zh-CN"/>
                    </w:rPr>
                    <w:t>折流挡板和塔顶排气孔滤尘网过滤后排放；无组织粉尘满足《大气污染物综合排放标准》（GB16297-1996）表2无组织排放监控浓度限值标准。</w:t>
                  </w:r>
                </w:p>
              </w:tc>
              <w:tc>
                <w:tcPr>
                  <w:tcW w:w="1391" w:type="dxa"/>
                  <w:tcBorders>
                    <w:tl2br w:val="nil"/>
                    <w:tr2bl w:val="nil"/>
                  </w:tcBorders>
                  <w:noWrap w:val="0"/>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169"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噪声防治措施</w:t>
                  </w:r>
                </w:p>
              </w:tc>
              <w:tc>
                <w:tcPr>
                  <w:tcW w:w="559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施工期选用低噪声设备，加强运输车辆管理，夜间停止施工。运营期</w:t>
                  </w:r>
                  <w:r>
                    <w:rPr>
                      <w:rFonts w:hint="default" w:ascii="Times New Roman" w:hAnsi="Times New Roman" w:eastAsia="宋体" w:cs="Times New Roman"/>
                      <w:color w:val="auto"/>
                      <w:sz w:val="21"/>
                      <w:szCs w:val="21"/>
                      <w:highlight w:val="none"/>
                    </w:rPr>
                    <w:t>选用低噪声设备，采取隔声、减振等措施</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本项目施工期场界执行《建筑施工噪声排放标准》（GB12523-2025），</w:t>
                  </w:r>
                  <w:r>
                    <w:rPr>
                      <w:rFonts w:hint="default" w:ascii="Times New Roman" w:hAnsi="Times New Roman" w:eastAsia="宋体" w:cs="Times New Roman"/>
                      <w:color w:val="auto"/>
                      <w:sz w:val="21"/>
                      <w:szCs w:val="21"/>
                      <w:highlight w:val="none"/>
                      <w:lang w:eastAsia="zh-CN"/>
                    </w:rPr>
                    <w:t>本项目</w:t>
                  </w:r>
                  <w:r>
                    <w:rPr>
                      <w:rFonts w:hint="eastAsia" w:cs="Times New Roman"/>
                      <w:color w:val="auto"/>
                      <w:sz w:val="21"/>
                      <w:szCs w:val="21"/>
                      <w:highlight w:val="none"/>
                      <w:lang w:val="en-US" w:eastAsia="zh-CN"/>
                    </w:rPr>
                    <w:t>运营期</w:t>
                  </w:r>
                  <w:r>
                    <w:rPr>
                      <w:rFonts w:hint="default" w:ascii="Times New Roman" w:hAnsi="Times New Roman" w:eastAsia="宋体" w:cs="Times New Roman"/>
                      <w:color w:val="auto"/>
                      <w:sz w:val="21"/>
                      <w:szCs w:val="21"/>
                      <w:highlight w:val="none"/>
                      <w:lang w:eastAsia="zh-CN"/>
                    </w:rPr>
                    <w:t>厂界噪声</w:t>
                  </w:r>
                  <w:r>
                    <w:rPr>
                      <w:rFonts w:hint="eastAsia" w:cs="Times New Roman"/>
                      <w:color w:val="auto"/>
                      <w:sz w:val="21"/>
                      <w:szCs w:val="21"/>
                      <w:highlight w:val="none"/>
                      <w:lang w:val="en-US" w:eastAsia="zh-CN"/>
                    </w:rPr>
                    <w:t>执行</w:t>
                  </w:r>
                  <w:r>
                    <w:rPr>
                      <w:rFonts w:hint="default" w:ascii="Times New Roman" w:hAnsi="Times New Roman" w:eastAsia="宋体" w:cs="Times New Roman"/>
                      <w:color w:val="auto"/>
                      <w:sz w:val="21"/>
                      <w:szCs w:val="21"/>
                      <w:highlight w:val="none"/>
                      <w:lang w:eastAsia="zh-CN"/>
                    </w:rPr>
                    <w:t>《工业企业厂界环境噪声排放标准》（GB12348-2008）中</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eastAsia="zh-CN"/>
                    </w:rPr>
                    <w:t>类标准要求</w:t>
                  </w:r>
                </w:p>
              </w:tc>
              <w:tc>
                <w:tcPr>
                  <w:tcW w:w="1391"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169"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固体废物防治措施</w:t>
                  </w:r>
                </w:p>
              </w:tc>
              <w:tc>
                <w:tcPr>
                  <w:tcW w:w="559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bCs/>
                      <w:color w:val="auto"/>
                      <w:spacing w:val="-10"/>
                      <w:sz w:val="21"/>
                      <w:szCs w:val="21"/>
                      <w:highlight w:val="none"/>
                      <w:lang w:val="en-US" w:eastAsia="zh-CN"/>
                    </w:rPr>
                    <w:t>施工期生活垃圾由环卫部门处置，建筑垃圾运至指定地点处置，沉淀池污泥运至垃圾填埋场填埋处置。运营期</w:t>
                  </w:r>
                  <w:r>
                    <w:rPr>
                      <w:rFonts w:hint="default" w:ascii="Times New Roman" w:hAnsi="Times New Roman" w:eastAsia="宋体" w:cs="Times New Roman"/>
                      <w:bCs/>
                      <w:color w:val="auto"/>
                      <w:spacing w:val="-10"/>
                      <w:sz w:val="21"/>
                      <w:szCs w:val="21"/>
                      <w:highlight w:val="none"/>
                      <w:lang w:val="en-US" w:eastAsia="zh-CN"/>
                    </w:rPr>
                    <w:t>生活垃圾</w:t>
                  </w:r>
                  <w:r>
                    <w:rPr>
                      <w:rFonts w:hint="eastAsia" w:cs="Times New Roman"/>
                      <w:bCs/>
                      <w:color w:val="auto"/>
                      <w:spacing w:val="-10"/>
                      <w:sz w:val="21"/>
                      <w:szCs w:val="21"/>
                      <w:highlight w:val="none"/>
                      <w:lang w:val="en-US" w:eastAsia="zh-CN"/>
                    </w:rPr>
                    <w:t>由环卫部门处置，</w:t>
                  </w:r>
                  <w:r>
                    <w:rPr>
                      <w:rFonts w:hint="default" w:ascii="Times New Roman" w:hAnsi="Times New Roman" w:eastAsia="宋体" w:cs="Times New Roman"/>
                      <w:bCs/>
                      <w:color w:val="auto"/>
                      <w:spacing w:val="-10"/>
                      <w:sz w:val="21"/>
                      <w:szCs w:val="21"/>
                      <w:highlight w:val="none"/>
                      <w:lang w:val="en-US" w:eastAsia="zh-CN"/>
                    </w:rPr>
                    <w:t>清理原粮中的杂质（泥沙）、粉尘集中收集，</w:t>
                  </w:r>
                  <w:r>
                    <w:rPr>
                      <w:rFonts w:hint="eastAsia" w:cs="Times New Roman"/>
                      <w:bCs/>
                      <w:color w:val="auto"/>
                      <w:spacing w:val="-10"/>
                      <w:sz w:val="21"/>
                      <w:szCs w:val="21"/>
                      <w:highlight w:val="none"/>
                      <w:lang w:val="en-US" w:eastAsia="zh-CN"/>
                    </w:rPr>
                    <w:t>外售综合利用</w:t>
                  </w:r>
                  <w:r>
                    <w:rPr>
                      <w:rFonts w:hint="default" w:ascii="Times New Roman" w:hAnsi="Times New Roman" w:eastAsia="宋体" w:cs="Times New Roman"/>
                      <w:bCs/>
                      <w:color w:val="auto"/>
                      <w:spacing w:val="-10"/>
                      <w:sz w:val="21"/>
                      <w:szCs w:val="21"/>
                      <w:highlight w:val="none"/>
                      <w:lang w:val="en-US" w:eastAsia="zh-CN"/>
                    </w:rPr>
                    <w:t>。</w:t>
                  </w:r>
                  <w:r>
                    <w:rPr>
                      <w:rFonts w:hint="eastAsia" w:cs="Times New Roman"/>
                      <w:bCs/>
                      <w:color w:val="auto"/>
                      <w:spacing w:val="-10"/>
                      <w:sz w:val="21"/>
                      <w:szCs w:val="21"/>
                      <w:highlight w:val="none"/>
                      <w:lang w:val="en-US" w:eastAsia="zh-CN"/>
                    </w:rPr>
                    <w:t>灰渣</w:t>
                  </w:r>
                  <w:r>
                    <w:rPr>
                      <w:rFonts w:hint="default" w:ascii="Times New Roman" w:hAnsi="Times New Roman" w:eastAsia="宋体" w:cs="Times New Roman"/>
                      <w:bCs/>
                      <w:color w:val="auto"/>
                      <w:spacing w:val="-10"/>
                      <w:sz w:val="21"/>
                      <w:szCs w:val="21"/>
                      <w:highlight w:val="none"/>
                      <w:lang w:val="en-US" w:eastAsia="zh-CN"/>
                    </w:rPr>
                    <w:t>集中收集，外售综合利用。</w:t>
                  </w:r>
                  <w:r>
                    <w:rPr>
                      <w:rFonts w:hint="eastAsia" w:cs="Times New Roman"/>
                      <w:bCs/>
                      <w:color w:val="auto"/>
                      <w:spacing w:val="-10"/>
                      <w:sz w:val="21"/>
                      <w:szCs w:val="21"/>
                      <w:highlight w:val="none"/>
                      <w:lang w:val="en-US" w:eastAsia="zh-CN"/>
                    </w:rPr>
                    <w:t>废布袋由厂家回收处置。不合格粮食外售给周边农户。</w:t>
                  </w:r>
                </w:p>
              </w:tc>
              <w:tc>
                <w:tcPr>
                  <w:tcW w:w="1391"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228"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169"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废水防治措施</w:t>
                  </w:r>
                </w:p>
              </w:tc>
              <w:tc>
                <w:tcPr>
                  <w:tcW w:w="559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施工期</w:t>
                  </w:r>
                  <w:r>
                    <w:rPr>
                      <w:rFonts w:hint="eastAsia" w:cs="Times New Roman"/>
                      <w:color w:val="auto"/>
                      <w:sz w:val="21"/>
                      <w:szCs w:val="21"/>
                      <w:highlight w:val="none"/>
                      <w:lang w:val="en-US" w:eastAsia="zh-CN"/>
                    </w:rPr>
                    <w:t>设置沉淀池，</w:t>
                  </w:r>
                  <w:r>
                    <w:rPr>
                      <w:rFonts w:hint="default" w:ascii="Times New Roman" w:hAnsi="Times New Roman" w:eastAsia="宋体" w:cs="Times New Roman"/>
                      <w:color w:val="auto"/>
                      <w:sz w:val="21"/>
                      <w:szCs w:val="21"/>
                      <w:highlight w:val="none"/>
                      <w:lang w:eastAsia="zh-CN"/>
                    </w:rPr>
                    <w:t>施工废水沉淀后用于厂区洒水降尘。施工人员生活污水排入防渗旱厕，定期清掏。</w:t>
                  </w:r>
                  <w:r>
                    <w:rPr>
                      <w:rFonts w:hint="eastAsia" w:cs="Times New Roman"/>
                      <w:color w:val="auto"/>
                      <w:sz w:val="21"/>
                      <w:szCs w:val="21"/>
                      <w:highlight w:val="none"/>
                      <w:lang w:val="en-US" w:eastAsia="zh-CN"/>
                    </w:rPr>
                    <w:t>本项目设置一座初期雨水收集池，初期雨水沉淀后用于厂区降尘</w:t>
                  </w:r>
                  <w:r>
                    <w:rPr>
                      <w:rFonts w:hint="default" w:ascii="Times New Roman" w:hAnsi="Times New Roman" w:eastAsia="宋体" w:cs="Times New Roman"/>
                      <w:color w:val="auto"/>
                      <w:sz w:val="21"/>
                      <w:szCs w:val="21"/>
                      <w:highlight w:val="none"/>
                      <w:lang w:eastAsia="zh-CN"/>
                    </w:rPr>
                    <w:t>，员工生活污水排入防渗旱厕定期清掏外运堆肥</w:t>
                  </w:r>
                  <w:r>
                    <w:rPr>
                      <w:rFonts w:hint="default" w:ascii="Times New Roman" w:hAnsi="Times New Roman" w:eastAsia="宋体" w:cs="Times New Roman"/>
                      <w:color w:val="auto"/>
                      <w:kern w:val="0"/>
                      <w:sz w:val="21"/>
                      <w:szCs w:val="21"/>
                      <w:highlight w:val="none"/>
                      <w:lang w:val="en-US" w:eastAsia="zh-CN"/>
                    </w:rPr>
                    <w:t>。</w:t>
                  </w:r>
                </w:p>
              </w:tc>
              <w:tc>
                <w:tcPr>
                  <w:tcW w:w="1391"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bCs/>
                      <w:color w:val="auto"/>
                      <w:sz w:val="21"/>
                      <w:szCs w:val="21"/>
                      <w:highlight w:val="none"/>
                      <w:lang w:val="en-US" w:eastAsia="zh-CN"/>
                    </w:rPr>
                    <w:t>新建</w:t>
                  </w:r>
                </w:p>
              </w:tc>
            </w:tr>
          </w:tbl>
          <w:p>
            <w:pPr>
              <w:spacing w:line="240" w:lineRule="auto"/>
              <w:ind w:firstLine="3162" w:firstLineChars="1500"/>
              <w:jc w:val="both"/>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表</w:t>
            </w:r>
            <w:r>
              <w:rPr>
                <w:rFonts w:hint="default" w:ascii="Times New Roman" w:hAnsi="Times New Roman" w:cs="Times New Roman"/>
                <w:b/>
                <w:bCs/>
                <w:color w:val="auto"/>
                <w:szCs w:val="21"/>
                <w:highlight w:val="none"/>
                <w:lang w:val="en-US" w:eastAsia="zh-CN"/>
              </w:rPr>
              <w:t>2</w:t>
            </w:r>
            <w:r>
              <w:rPr>
                <w:rFonts w:hint="default" w:ascii="Times New Roman" w:hAnsi="Times New Roman" w:cs="Times New Roman"/>
                <w:b/>
                <w:bCs/>
                <w:color w:val="auto"/>
                <w:szCs w:val="21"/>
                <w:highlight w:val="none"/>
              </w:rPr>
              <w:t>-2  产品方案表</w:t>
            </w:r>
          </w:p>
          <w:tbl>
            <w:tblPr>
              <w:tblStyle w:val="30"/>
              <w:tblpPr w:leftFromText="181" w:rightFromText="181" w:bottomFromText="142" w:vertAnchor="text" w:tblpXSpec="center" w:tblpY="1"/>
              <w:tblW w:w="85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82"/>
              <w:gridCol w:w="2369"/>
              <w:gridCol w:w="956"/>
              <w:gridCol w:w="1935"/>
              <w:gridCol w:w="244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cantSplit/>
              </w:trPr>
              <w:tc>
                <w:tcPr>
                  <w:tcW w:w="882"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2369"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产品名称</w:t>
                  </w:r>
                </w:p>
              </w:tc>
              <w:tc>
                <w:tcPr>
                  <w:tcW w:w="956"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 位</w:t>
                  </w:r>
                </w:p>
              </w:tc>
              <w:tc>
                <w:tcPr>
                  <w:tcW w:w="1935"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年产量</w:t>
                  </w:r>
                </w:p>
              </w:tc>
              <w:tc>
                <w:tcPr>
                  <w:tcW w:w="2444"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    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cantSplit/>
              </w:trPr>
              <w:tc>
                <w:tcPr>
                  <w:tcW w:w="882"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369" w:type="dxa"/>
                  <w:noWrap w:val="0"/>
                  <w:vAlign w:val="center"/>
                </w:tcPr>
                <w:p>
                  <w:pPr>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玉米</w:t>
                  </w:r>
                </w:p>
              </w:tc>
              <w:tc>
                <w:tcPr>
                  <w:tcW w:w="956"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吨</w:t>
                  </w:r>
                </w:p>
              </w:tc>
              <w:tc>
                <w:tcPr>
                  <w:tcW w:w="1935" w:type="dxa"/>
                  <w:noWrap w:val="0"/>
                  <w:vAlign w:val="center"/>
                </w:tcPr>
                <w:p>
                  <w:pPr>
                    <w:jc w:val="center"/>
                    <w:rPr>
                      <w:rFonts w:hint="default" w:ascii="Times New Roman" w:hAnsi="Times New Roman" w:eastAsia="宋体" w:cs="Times New Roman"/>
                      <w:color w:val="auto"/>
                      <w:szCs w:val="21"/>
                      <w:highlight w:val="none"/>
                      <w:lang w:val="en-US" w:eastAsia="zh-CN"/>
                    </w:rPr>
                  </w:pPr>
                  <w:r>
                    <w:rPr>
                      <w:rFonts w:hint="eastAsia" w:cs="Times New Roman"/>
                      <w:color w:val="auto"/>
                      <w:kern w:val="0"/>
                      <w:highlight w:val="none"/>
                      <w:lang w:val="en-US" w:eastAsia="zh-CN"/>
                    </w:rPr>
                    <w:t>12378.5</w:t>
                  </w:r>
                </w:p>
              </w:tc>
              <w:tc>
                <w:tcPr>
                  <w:tcW w:w="2444" w:type="dxa"/>
                  <w:noWrap w:val="0"/>
                  <w:vAlign w:val="center"/>
                </w:tcPr>
                <w:p>
                  <w:pPr>
                    <w:jc w:val="center"/>
                    <w:rPr>
                      <w:rFonts w:hint="eastAsia"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烘</w:t>
                  </w:r>
                  <w:r>
                    <w:rPr>
                      <w:rFonts w:hint="default" w:ascii="Times New Roman" w:hAnsi="Times New Roman" w:cs="Times New Roman"/>
                      <w:color w:val="auto"/>
                      <w:szCs w:val="21"/>
                      <w:highlight w:val="none"/>
                      <w:lang w:eastAsia="zh-CN"/>
                    </w:rPr>
                    <w:t>干</w:t>
                  </w:r>
                  <w:r>
                    <w:rPr>
                      <w:rFonts w:hint="eastAsia" w:ascii="Times New Roman" w:hAnsi="Times New Roman" w:cs="Times New Roman"/>
                      <w:color w:val="auto"/>
                      <w:szCs w:val="21"/>
                      <w:highlight w:val="none"/>
                      <w:lang w:val="en-US" w:eastAsia="zh-CN"/>
                    </w:rPr>
                    <w:t>后</w:t>
                  </w:r>
                </w:p>
              </w:tc>
            </w:tr>
          </w:tbl>
          <w:p>
            <w:pPr>
              <w:spacing w:line="360" w:lineRule="auto"/>
              <w:ind w:firstLine="482" w:firstLineChars="200"/>
              <w:rPr>
                <w:rFonts w:hint="default" w:ascii="Times New Roman" w:hAnsi="Times New Roman" w:cs="Times New Roman"/>
                <w:b/>
                <w:bCs/>
                <w:color w:val="auto"/>
                <w:kern w:val="0"/>
                <w:sz w:val="24"/>
                <w:szCs w:val="24"/>
                <w:lang w:val="en-US" w:eastAsia="zh-CN"/>
              </w:rPr>
            </w:pPr>
            <w:r>
              <w:rPr>
                <w:rFonts w:hint="default" w:ascii="Times New Roman" w:hAnsi="Times New Roman" w:cs="Times New Roman"/>
                <w:b/>
                <w:bCs/>
                <w:color w:val="auto"/>
                <w:kern w:val="0"/>
                <w:sz w:val="24"/>
                <w:szCs w:val="24"/>
                <w:lang w:val="en-US" w:eastAsia="zh-CN"/>
              </w:rPr>
              <w:t>主要生产设备及设备参数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本项目主要生产及辅助设备见下表。</w:t>
            </w:r>
          </w:p>
          <w:p>
            <w:pPr>
              <w:pStyle w:val="80"/>
              <w:adjustRightInd/>
              <w:snapToGrid/>
              <w:spacing w:line="240" w:lineRule="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2-</w:t>
            </w:r>
            <w:r>
              <w:rPr>
                <w:rFonts w:hint="eastAsia" w:cs="Times New Roman"/>
                <w:b/>
                <w:bCs/>
                <w:color w:val="auto"/>
                <w:sz w:val="21"/>
                <w:szCs w:val="21"/>
                <w:lang w:val="en-US" w:eastAsia="zh-CN"/>
              </w:rPr>
              <w:t>3</w:t>
            </w:r>
            <w:r>
              <w:rPr>
                <w:rFonts w:hint="default" w:ascii="Times New Roman" w:hAnsi="Times New Roman" w:cs="Times New Roman"/>
                <w:b/>
                <w:bCs/>
                <w:color w:val="auto"/>
                <w:sz w:val="21"/>
                <w:szCs w:val="21"/>
                <w:lang w:eastAsia="zh-CN"/>
              </w:rPr>
              <w:t>主要设备</w:t>
            </w:r>
            <w:r>
              <w:rPr>
                <w:rFonts w:hint="default" w:ascii="Times New Roman" w:hAnsi="Times New Roman" w:cs="Times New Roman"/>
                <w:b/>
                <w:bCs/>
                <w:color w:val="auto"/>
                <w:sz w:val="21"/>
                <w:szCs w:val="21"/>
              </w:rPr>
              <w:t>一览表</w:t>
            </w:r>
          </w:p>
          <w:tbl>
            <w:tblPr>
              <w:tblStyle w:val="30"/>
              <w:tblW w:w="9385"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57"/>
              <w:gridCol w:w="4356"/>
              <w:gridCol w:w="1602"/>
              <w:gridCol w:w="187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557"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序号</w:t>
                  </w:r>
                </w:p>
              </w:tc>
              <w:tc>
                <w:tcPr>
                  <w:tcW w:w="4356"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名称</w:t>
                  </w:r>
                </w:p>
              </w:tc>
              <w:tc>
                <w:tcPr>
                  <w:tcW w:w="1602"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单位</w:t>
                  </w:r>
                </w:p>
              </w:tc>
              <w:tc>
                <w:tcPr>
                  <w:tcW w:w="1870"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数量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557"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1</w:t>
                  </w:r>
                </w:p>
              </w:tc>
              <w:tc>
                <w:tcPr>
                  <w:tcW w:w="4356"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rPr>
                    <w:t>清理筛</w:t>
                  </w:r>
                  <w:r>
                    <w:rPr>
                      <w:rFonts w:hint="default" w:ascii="Times New Roman" w:hAnsi="Times New Roman" w:cs="Times New Roman"/>
                      <w:color w:val="auto"/>
                      <w:szCs w:val="21"/>
                      <w:lang w:val="en-US" w:eastAsia="zh-CN"/>
                    </w:rPr>
                    <w:t>分机及配套除尘器</w:t>
                  </w:r>
                </w:p>
              </w:tc>
              <w:tc>
                <w:tcPr>
                  <w:tcW w:w="1602"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台</w:t>
                  </w:r>
                </w:p>
              </w:tc>
              <w:tc>
                <w:tcPr>
                  <w:tcW w:w="1870"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557"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2</w:t>
                  </w:r>
                </w:p>
              </w:tc>
              <w:tc>
                <w:tcPr>
                  <w:tcW w:w="4356"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传送带</w:t>
                  </w:r>
                </w:p>
              </w:tc>
              <w:tc>
                <w:tcPr>
                  <w:tcW w:w="1602"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台</w:t>
                  </w:r>
                </w:p>
              </w:tc>
              <w:tc>
                <w:tcPr>
                  <w:tcW w:w="1870"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557"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3</w:t>
                  </w:r>
                </w:p>
              </w:tc>
              <w:tc>
                <w:tcPr>
                  <w:tcW w:w="4356" w:type="dxa"/>
                  <w:noWrap w:val="0"/>
                  <w:vAlign w:val="center"/>
                </w:tcPr>
                <w:p>
                  <w:pPr>
                    <w:widowControl/>
                    <w:jc w:val="center"/>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提升机</w:t>
                  </w:r>
                </w:p>
              </w:tc>
              <w:tc>
                <w:tcPr>
                  <w:tcW w:w="1602" w:type="dxa"/>
                  <w:noWrap w:val="0"/>
                  <w:vAlign w:val="center"/>
                </w:tcPr>
                <w:p>
                  <w:pPr>
                    <w:adjustRightInd w:val="0"/>
                    <w:snapToGrid w:val="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台</w:t>
                  </w:r>
                </w:p>
              </w:tc>
              <w:tc>
                <w:tcPr>
                  <w:tcW w:w="1870"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557"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4</w:t>
                  </w:r>
                </w:p>
              </w:tc>
              <w:tc>
                <w:tcPr>
                  <w:tcW w:w="4356" w:type="dxa"/>
                  <w:noWrap w:val="0"/>
                  <w:vAlign w:val="center"/>
                </w:tcPr>
                <w:p>
                  <w:pPr>
                    <w:widowControl/>
                    <w:jc w:val="center"/>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风机</w:t>
                  </w:r>
                </w:p>
              </w:tc>
              <w:tc>
                <w:tcPr>
                  <w:tcW w:w="1602"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台</w:t>
                  </w:r>
                </w:p>
              </w:tc>
              <w:tc>
                <w:tcPr>
                  <w:tcW w:w="1870"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39" w:hRule="atLeast"/>
                <w:jc w:val="center"/>
              </w:trPr>
              <w:tc>
                <w:tcPr>
                  <w:tcW w:w="1557"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5</w:t>
                  </w:r>
                </w:p>
              </w:tc>
              <w:tc>
                <w:tcPr>
                  <w:tcW w:w="4356" w:type="dxa"/>
                  <w:noWrap w:val="0"/>
                  <w:vAlign w:val="center"/>
                </w:tcPr>
                <w:p>
                  <w:pPr>
                    <w:widowControl/>
                    <w:jc w:val="center"/>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热风炉</w:t>
                  </w:r>
                </w:p>
              </w:tc>
              <w:tc>
                <w:tcPr>
                  <w:tcW w:w="1602"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台</w:t>
                  </w:r>
                </w:p>
              </w:tc>
              <w:tc>
                <w:tcPr>
                  <w:tcW w:w="1870"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557"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Cs w:val="21"/>
                      <w:lang w:val="en-US" w:eastAsia="zh-CN"/>
                    </w:rPr>
                    <w:t>6</w:t>
                  </w:r>
                </w:p>
              </w:tc>
              <w:tc>
                <w:tcPr>
                  <w:tcW w:w="4356" w:type="dxa"/>
                  <w:noWrap w:val="0"/>
                  <w:vAlign w:val="center"/>
                </w:tcPr>
                <w:p>
                  <w:pPr>
                    <w:pStyle w:val="74"/>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烘干塔</w:t>
                  </w:r>
                </w:p>
              </w:tc>
              <w:tc>
                <w:tcPr>
                  <w:tcW w:w="1602" w:type="dxa"/>
                  <w:noWrap w:val="0"/>
                  <w:vAlign w:val="center"/>
                </w:tcPr>
                <w:p>
                  <w:pPr>
                    <w:adjustRightInd w:val="0"/>
                    <w:snapToGrid w:val="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座</w:t>
                  </w:r>
                </w:p>
              </w:tc>
              <w:tc>
                <w:tcPr>
                  <w:tcW w:w="1870"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557"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7</w:t>
                  </w:r>
                </w:p>
              </w:tc>
              <w:tc>
                <w:tcPr>
                  <w:tcW w:w="4356" w:type="dxa"/>
                  <w:noWrap w:val="0"/>
                  <w:vAlign w:val="center"/>
                </w:tcPr>
                <w:p>
                  <w:pPr>
                    <w:widowControl/>
                    <w:jc w:val="center"/>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布袋除尘器</w:t>
                  </w:r>
                </w:p>
              </w:tc>
              <w:tc>
                <w:tcPr>
                  <w:tcW w:w="1602"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kern w:val="2"/>
                      <w:sz w:val="21"/>
                      <w:szCs w:val="21"/>
                      <w:lang w:val="en-US" w:eastAsia="zh-CN" w:bidi="ar-SA"/>
                    </w:rPr>
                    <w:t>台</w:t>
                  </w:r>
                </w:p>
              </w:tc>
              <w:tc>
                <w:tcPr>
                  <w:tcW w:w="1870"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auto"/>
                <w:kern w:val="0"/>
                <w:sz w:val="24"/>
                <w:szCs w:val="24"/>
                <w:lang w:val="en-US" w:eastAsia="zh-CN"/>
              </w:rPr>
            </w:pPr>
            <w:r>
              <w:rPr>
                <w:rFonts w:hint="eastAsia" w:ascii="Times New Roman" w:hAnsi="Times New Roman" w:cs="Times New Roman"/>
                <w:b/>
                <w:bCs/>
                <w:color w:val="auto"/>
                <w:kern w:val="0"/>
                <w:sz w:val="24"/>
                <w:szCs w:val="24"/>
                <w:lang w:val="en-US" w:eastAsia="zh-CN"/>
              </w:rPr>
              <w:t>3、</w:t>
            </w:r>
            <w:r>
              <w:rPr>
                <w:rFonts w:hint="default" w:ascii="Times New Roman" w:hAnsi="Times New Roman" w:cs="Times New Roman"/>
                <w:b/>
                <w:bCs/>
                <w:color w:val="auto"/>
                <w:kern w:val="0"/>
                <w:sz w:val="24"/>
                <w:szCs w:val="24"/>
                <w:lang w:val="en-US" w:eastAsia="zh-CN"/>
              </w:rPr>
              <w:t>主要原辅材料及燃料</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highlight w:val="none"/>
              </w:rPr>
              <w:t>原辅材料用量见下表。</w:t>
            </w:r>
          </w:p>
          <w:p>
            <w:pPr>
              <w:pStyle w:val="80"/>
              <w:adjustRightInd/>
              <w:snapToGrid/>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2-</w:t>
            </w:r>
            <w:r>
              <w:rPr>
                <w:rFonts w:hint="eastAsia" w:cs="Times New Roman"/>
                <w:b/>
                <w:bCs/>
                <w:color w:val="auto"/>
                <w:sz w:val="21"/>
                <w:szCs w:val="21"/>
                <w:highlight w:val="none"/>
                <w:lang w:val="en-US" w:eastAsia="zh-CN"/>
              </w:rPr>
              <w:t xml:space="preserve">4 </w:t>
            </w:r>
            <w:r>
              <w:rPr>
                <w:rFonts w:hint="default" w:ascii="Times New Roman" w:hAnsi="Times New Roman" w:cs="Times New Roman"/>
                <w:b/>
                <w:bCs/>
                <w:color w:val="auto"/>
                <w:sz w:val="21"/>
                <w:szCs w:val="21"/>
                <w:highlight w:val="none"/>
                <w:lang w:eastAsia="zh-CN"/>
              </w:rPr>
              <w:t>原、辅材料情况</w:t>
            </w:r>
            <w:r>
              <w:rPr>
                <w:rFonts w:hint="default" w:ascii="Times New Roman" w:hAnsi="Times New Roman" w:cs="Times New Roman"/>
                <w:b/>
                <w:bCs/>
                <w:color w:val="auto"/>
                <w:sz w:val="21"/>
                <w:szCs w:val="21"/>
                <w:highlight w:val="none"/>
              </w:rPr>
              <w:t>一览表</w:t>
            </w:r>
          </w:p>
          <w:tbl>
            <w:tblPr>
              <w:tblStyle w:val="30"/>
              <w:tblW w:w="9381"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69"/>
              <w:gridCol w:w="2177"/>
              <w:gridCol w:w="2127"/>
              <w:gridCol w:w="430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769"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序号</w:t>
                  </w:r>
                </w:p>
              </w:tc>
              <w:tc>
                <w:tcPr>
                  <w:tcW w:w="2177"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名称</w:t>
                  </w:r>
                </w:p>
              </w:tc>
              <w:tc>
                <w:tcPr>
                  <w:tcW w:w="2127"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年用量</w:t>
                  </w:r>
                </w:p>
              </w:tc>
              <w:tc>
                <w:tcPr>
                  <w:tcW w:w="4308"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769"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2177" w:type="dxa"/>
                  <w:noWrap w:val="0"/>
                  <w:vAlign w:val="center"/>
                </w:tcPr>
                <w:p>
                  <w:pPr>
                    <w:adjustRightInd w:val="0"/>
                    <w:snapToGrid w:val="0"/>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玉米潮粮</w:t>
                  </w:r>
                </w:p>
              </w:tc>
              <w:tc>
                <w:tcPr>
                  <w:tcW w:w="2127" w:type="dxa"/>
                  <w:noWrap w:val="0"/>
                  <w:vAlign w:val="center"/>
                </w:tcPr>
                <w:p>
                  <w:pPr>
                    <w:adjustRightInd w:val="0"/>
                    <w:snapToGrid w:val="0"/>
                    <w:jc w:val="center"/>
                    <w:rPr>
                      <w:rFonts w:hint="default" w:ascii="Times New Roman" w:hAnsi="Times New Roman" w:eastAsia="宋体" w:cs="Times New Roman"/>
                      <w:color w:val="auto"/>
                      <w:szCs w:val="21"/>
                      <w:highlight w:val="yellow"/>
                      <w:lang w:val="en-US" w:eastAsia="zh-CN"/>
                    </w:rPr>
                  </w:pPr>
                  <w:r>
                    <w:rPr>
                      <w:rFonts w:hint="eastAsia" w:cs="Times New Roman"/>
                      <w:color w:val="auto"/>
                      <w:szCs w:val="21"/>
                      <w:highlight w:val="none"/>
                      <w:lang w:val="en-US" w:eastAsia="zh-CN"/>
                    </w:rPr>
                    <w:t>15000</w:t>
                  </w:r>
                  <w:r>
                    <w:rPr>
                      <w:rFonts w:hint="default" w:ascii="Times New Roman" w:hAnsi="Times New Roman" w:cs="Times New Roman"/>
                      <w:color w:val="auto"/>
                      <w:szCs w:val="21"/>
                      <w:highlight w:val="none"/>
                    </w:rPr>
                    <w:t>t/a</w:t>
                  </w:r>
                </w:p>
              </w:tc>
              <w:tc>
                <w:tcPr>
                  <w:tcW w:w="4308"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向当地农户收购</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769"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2</w:t>
                  </w:r>
                </w:p>
              </w:tc>
              <w:tc>
                <w:tcPr>
                  <w:tcW w:w="2177"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生物质压块燃料</w:t>
                  </w:r>
                </w:p>
              </w:tc>
              <w:tc>
                <w:tcPr>
                  <w:tcW w:w="2127"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 w:val="21"/>
                      <w:szCs w:val="21"/>
                      <w:highlight w:val="none"/>
                      <w:lang w:val="en-US" w:eastAsia="zh-CN"/>
                    </w:rPr>
                    <w:t>1250</w:t>
                  </w:r>
                  <w:r>
                    <w:rPr>
                      <w:rFonts w:hint="default" w:ascii="Times New Roman" w:hAnsi="Times New Roman" w:cs="Times New Roman"/>
                      <w:color w:val="auto"/>
                      <w:szCs w:val="21"/>
                      <w:highlight w:val="none"/>
                      <w:lang w:val="en-US" w:eastAsia="zh-CN"/>
                    </w:rPr>
                    <w:t>t/a</w:t>
                  </w:r>
                </w:p>
              </w:tc>
              <w:tc>
                <w:tcPr>
                  <w:tcW w:w="4308" w:type="dxa"/>
                  <w:noWrap w:val="0"/>
                  <w:vAlign w:val="center"/>
                </w:tcPr>
                <w:p>
                  <w:pPr>
                    <w:adjustRightInd w:val="0"/>
                    <w:snapToGrid w:val="0"/>
                    <w:jc w:val="center"/>
                    <w:rPr>
                      <w:rFonts w:hint="default" w:ascii="Times New Roman" w:hAnsi="Times New Roman" w:cs="Times New Roman"/>
                      <w:color w:val="auto"/>
                      <w:szCs w:val="21"/>
                      <w:lang w:val="en-US" w:eastAsia="zh-CN"/>
                    </w:rPr>
                  </w:pPr>
                  <w:r>
                    <w:rPr>
                      <w:rFonts w:hint="default" w:ascii="Times New Roman" w:hAnsi="Times New Roman" w:cs="Times New Roman"/>
                      <w:color w:val="auto"/>
                      <w:szCs w:val="21"/>
                      <w:lang w:val="en-US" w:eastAsia="zh-CN"/>
                    </w:rPr>
                    <w:t>向附近燃料生产商购买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769" w:type="dxa"/>
                  <w:noWrap w:val="0"/>
                  <w:vAlign w:val="center"/>
                </w:tcPr>
                <w:p>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3</w:t>
                  </w:r>
                </w:p>
              </w:tc>
              <w:tc>
                <w:tcPr>
                  <w:tcW w:w="2177"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新鲜水</w:t>
                  </w:r>
                </w:p>
              </w:tc>
              <w:tc>
                <w:tcPr>
                  <w:tcW w:w="2127"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24t</w:t>
                  </w:r>
                  <w:r>
                    <w:rPr>
                      <w:rFonts w:hint="default" w:ascii="Times New Roman" w:hAnsi="Times New Roman" w:cs="Times New Roman"/>
                      <w:color w:val="auto"/>
                      <w:szCs w:val="21"/>
                      <w:highlight w:val="none"/>
                    </w:rPr>
                    <w:t>/a</w:t>
                  </w:r>
                </w:p>
              </w:tc>
              <w:tc>
                <w:tcPr>
                  <w:tcW w:w="4308" w:type="dxa"/>
                  <w:noWrap w:val="0"/>
                  <w:vAlign w:val="center"/>
                </w:tcPr>
                <w:p>
                  <w:pPr>
                    <w:adjustRightInd w:val="0"/>
                    <w:snapToGrid w:val="0"/>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外购</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769"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4</w:t>
                  </w:r>
                </w:p>
              </w:tc>
              <w:tc>
                <w:tcPr>
                  <w:tcW w:w="2177"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电</w:t>
                  </w:r>
                </w:p>
              </w:tc>
              <w:tc>
                <w:tcPr>
                  <w:tcW w:w="2127" w:type="dxa"/>
                  <w:noWrap w:val="0"/>
                  <w:vAlign w:val="center"/>
                </w:tcPr>
                <w:p>
                  <w:pPr>
                    <w:adjustRightInd w:val="0"/>
                    <w:snapToGrid w:val="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60万千瓦时</w:t>
                  </w:r>
                </w:p>
              </w:tc>
              <w:tc>
                <w:tcPr>
                  <w:tcW w:w="4308" w:type="dxa"/>
                  <w:noWrap w:val="0"/>
                  <w:vAlign w:val="center"/>
                </w:tcPr>
                <w:p>
                  <w:pPr>
                    <w:adjustRightInd w:val="0"/>
                    <w:snapToGrid w:val="0"/>
                    <w:jc w:val="center"/>
                    <w:rPr>
                      <w:rFonts w:hint="default" w:cs="Times New Roman"/>
                      <w:color w:val="auto"/>
                      <w:szCs w:val="21"/>
                      <w:lang w:val="en-US" w:eastAsia="zh-CN"/>
                    </w:rPr>
                  </w:pPr>
                  <w:r>
                    <w:rPr>
                      <w:rFonts w:hint="eastAsia" w:cs="Times New Roman"/>
                      <w:color w:val="auto"/>
                      <w:szCs w:val="21"/>
                      <w:lang w:val="en-US" w:eastAsia="zh-CN"/>
                    </w:rPr>
                    <w:t>电网提供</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hint="default" w:ascii="Times New Roman" w:hAnsi="Times New Roman" w:eastAsia="宋体" w:cs="Times New Roman"/>
                <w:b/>
                <w:bCs/>
                <w:color w:val="auto"/>
                <w:kern w:val="0"/>
                <w:sz w:val="24"/>
                <w:szCs w:val="24"/>
                <w:lang w:val="en-US" w:eastAsia="zh-CN"/>
              </w:rPr>
            </w:pPr>
            <w:r>
              <w:rPr>
                <w:rFonts w:hint="eastAsia" w:cs="Times New Roman"/>
                <w:b/>
                <w:bCs/>
                <w:color w:val="auto"/>
                <w:kern w:val="0"/>
                <w:sz w:val="24"/>
                <w:szCs w:val="24"/>
                <w:lang w:val="en-US" w:eastAsia="zh-CN"/>
              </w:rPr>
              <w:drawing>
                <wp:inline distT="0" distB="0" distL="114300" distR="114300">
                  <wp:extent cx="5692775" cy="1101090"/>
                  <wp:effectExtent l="0" t="0" r="0" b="0"/>
                  <wp:docPr id="5" name="E657119C-6982-421D-8BA7-E74DEB70A7D9-1" descr="C:/Users/WY001/AppData/Local/Temp/wps.ODZtRm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657119C-6982-421D-8BA7-E74DEB70A7D9-1" descr="C:/Users/WY001/AppData/Local/Temp/wps.ODZtRmwps"/>
                          <pic:cNvPicPr>
                            <a:picLocks noChangeAspect="1"/>
                          </pic:cNvPicPr>
                        </pic:nvPicPr>
                        <pic:blipFill>
                          <a:blip r:embed="rId10"/>
                          <a:stretch>
                            <a:fillRect/>
                          </a:stretch>
                        </pic:blipFill>
                        <pic:spPr>
                          <a:xfrm>
                            <a:off x="0" y="0"/>
                            <a:ext cx="5692775" cy="1101090"/>
                          </a:xfrm>
                          <a:prstGeom prst="rect">
                            <a:avLst/>
                          </a:prstGeom>
                        </pic:spPr>
                      </pic:pic>
                    </a:graphicData>
                  </a:graphic>
                </wp:inline>
              </w:drawing>
            </w:r>
            <w:r>
              <w:rPr>
                <w:rFonts w:hint="eastAsia" w:cs="Times New Roman"/>
                <w:b/>
                <w:bCs/>
                <w:color w:val="auto"/>
                <w:kern w:val="0"/>
                <w:sz w:val="24"/>
                <w:szCs w:val="24"/>
                <w:lang w:val="en-US" w:eastAsia="zh-CN"/>
              </w:rPr>
              <w:t>图2-1物料平衡图</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生物质压块燃料消耗量计算：</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本项目</w:t>
            </w:r>
            <w:r>
              <w:rPr>
                <w:rFonts w:hint="default" w:ascii="Times New Roman" w:hAnsi="Times New Roman" w:eastAsia="宋体" w:cs="Times New Roman"/>
                <w:color w:val="auto"/>
                <w:kern w:val="0"/>
                <w:sz w:val="24"/>
                <w:szCs w:val="24"/>
                <w:highlight w:val="none"/>
                <w:lang w:val="en-US" w:eastAsia="zh-CN"/>
              </w:rPr>
              <w:t>进厂潮粮经初步筛选清除杂质后，进入烘干塔进行烘干的潮粮为</w:t>
            </w:r>
            <w:r>
              <w:rPr>
                <w:rFonts w:hint="eastAsia" w:cs="Times New Roman"/>
                <w:color w:val="auto"/>
                <w:kern w:val="0"/>
                <w:sz w:val="24"/>
                <w:szCs w:val="24"/>
                <w:highlight w:val="none"/>
                <w:lang w:val="en-US" w:eastAsia="zh-CN"/>
              </w:rPr>
              <w:t>14997t</w:t>
            </w:r>
            <w:r>
              <w:rPr>
                <w:rFonts w:hint="default" w:ascii="Times New Roman" w:hAnsi="Times New Roman" w:eastAsia="宋体" w:cs="Times New Roman"/>
                <w:color w:val="auto"/>
                <w:kern w:val="0"/>
                <w:sz w:val="24"/>
                <w:szCs w:val="24"/>
                <w:highlight w:val="none"/>
                <w:lang w:val="en-US" w:eastAsia="zh-CN"/>
              </w:rPr>
              <w:t>/a，含水率平均29%，要求烘干后的干粮含水率为14%。</w:t>
            </w:r>
            <w:r>
              <w:rPr>
                <w:rFonts w:hint="default" w:ascii="Times New Roman" w:hAnsi="Times New Roman" w:eastAsia="宋体" w:cs="Times New Roman"/>
                <w:color w:val="auto"/>
                <w:kern w:val="0"/>
                <w:sz w:val="24"/>
                <w:szCs w:val="24"/>
                <w:lang w:val="en-US" w:eastAsia="zh-CN"/>
              </w:rPr>
              <w:t>则烘干过程水分蒸发量按照下方公式计算：</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position w:val="-10"/>
                <w:sz w:val="24"/>
                <w:szCs w:val="24"/>
                <w:lang w:val="en-US" w:eastAsia="zh-CN"/>
              </w:rPr>
              <w:object>
                <v:shape id="_x0000_i1025" o:spt="75" type="#_x0000_t75" style="height:17pt;width:132.95pt;" o:ole="t" filled="f" o:preferrelative="t" stroked="f" coordsize="21600,21600">
                  <v:path/>
                  <v:fill on="f" focussize="0,0"/>
                  <v:stroke on="f"/>
                  <v:imagedata r:id="rId12" o:title=""/>
                  <o:lock v:ext="edit" aspectratio="t"/>
                  <w10:wrap type="none"/>
                  <w10:anchorlock/>
                </v:shape>
                <o:OLEObject Type="Embed" ProgID="Equation.KSEE3" ShapeID="_x0000_i1025" DrawAspect="Content" ObjectID="_1468075725" r:id="rId11">
                  <o:LockedField>false</o:LockedField>
                </o:OLEObject>
              </w:objec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式中：W：水分蒸发量，t/a；</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G：处理量（本项目为</w:t>
            </w:r>
            <w:r>
              <w:rPr>
                <w:rFonts w:hint="eastAsia" w:cs="Times New Roman"/>
                <w:color w:val="auto"/>
                <w:kern w:val="0"/>
                <w:sz w:val="24"/>
                <w:szCs w:val="24"/>
                <w:lang w:val="en-US" w:eastAsia="zh-CN"/>
              </w:rPr>
              <w:t>14997</w:t>
            </w:r>
            <w:r>
              <w:rPr>
                <w:rFonts w:hint="default" w:ascii="Times New Roman" w:hAnsi="Times New Roman" w:eastAsia="宋体" w:cs="Times New Roman"/>
                <w:color w:val="auto"/>
                <w:kern w:val="0"/>
                <w:sz w:val="24"/>
                <w:szCs w:val="24"/>
                <w:lang w:val="en-US" w:eastAsia="zh-CN"/>
              </w:rPr>
              <w:t>t/a）；</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ω</w:t>
            </w:r>
            <w:r>
              <w:rPr>
                <w:rFonts w:hint="default" w:ascii="Times New Roman" w:hAnsi="Times New Roman" w:eastAsia="宋体" w:cs="Times New Roman"/>
                <w:color w:val="auto"/>
                <w:kern w:val="0"/>
                <w:sz w:val="24"/>
                <w:szCs w:val="24"/>
                <w:vertAlign w:val="subscript"/>
                <w:lang w:val="en-US" w:eastAsia="zh-CN"/>
              </w:rPr>
              <w:t>1</w:t>
            </w:r>
            <w:r>
              <w:rPr>
                <w:rFonts w:hint="default" w:ascii="Times New Roman" w:hAnsi="Times New Roman" w:eastAsia="宋体" w:cs="Times New Roman"/>
                <w:color w:val="auto"/>
                <w:kern w:val="0"/>
                <w:sz w:val="24"/>
                <w:szCs w:val="24"/>
                <w:lang w:val="en-US" w:eastAsia="zh-CN"/>
              </w:rPr>
              <w:t>：进料含水量百分数（本项目为29</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ω</w:t>
            </w:r>
            <w:r>
              <w:rPr>
                <w:rFonts w:hint="default" w:ascii="Times New Roman" w:hAnsi="Times New Roman" w:eastAsia="宋体" w:cs="Times New Roman"/>
                <w:color w:val="auto"/>
                <w:kern w:val="0"/>
                <w:sz w:val="24"/>
                <w:szCs w:val="24"/>
                <w:vertAlign w:val="subscript"/>
                <w:lang w:val="en-US" w:eastAsia="zh-CN"/>
              </w:rPr>
              <w:t>2</w:t>
            </w:r>
            <w:r>
              <w:rPr>
                <w:rFonts w:hint="default" w:ascii="Times New Roman" w:hAnsi="Times New Roman" w:eastAsia="宋体" w:cs="Times New Roman"/>
                <w:color w:val="auto"/>
                <w:kern w:val="0"/>
                <w:sz w:val="24"/>
                <w:szCs w:val="24"/>
                <w:lang w:val="en-US" w:eastAsia="zh-CN"/>
              </w:rPr>
              <w:t>：出料含水量百分数（本项目为14</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则水分蒸发量为</w:t>
            </w:r>
            <w:r>
              <w:rPr>
                <w:rFonts w:hint="eastAsia" w:cs="Times New Roman"/>
                <w:color w:val="auto"/>
                <w:kern w:val="0"/>
                <w:sz w:val="24"/>
                <w:szCs w:val="24"/>
                <w:lang w:val="en-US" w:eastAsia="zh-CN"/>
              </w:rPr>
              <w:t>2616</w:t>
            </w:r>
            <w:r>
              <w:rPr>
                <w:rFonts w:hint="default" w:ascii="Times New Roman" w:hAnsi="Times New Roman" w:eastAsia="宋体" w:cs="Times New Roman"/>
                <w:color w:val="auto"/>
                <w:kern w:val="0"/>
                <w:sz w:val="24"/>
                <w:szCs w:val="24"/>
                <w:lang w:val="en-US" w:eastAsia="zh-CN"/>
              </w:rPr>
              <w:t>t/a。</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本项目热风炉热效率为80%，生物质燃料的收到基低位发热量为</w:t>
            </w:r>
            <w:r>
              <w:rPr>
                <w:rFonts w:hint="eastAsia" w:ascii="Times New Roman" w:hAnsi="Times New Roman" w:eastAsia="宋体" w:cs="Times New Roman"/>
                <w:color w:val="auto"/>
                <w:kern w:val="0"/>
                <w:sz w:val="24"/>
                <w:szCs w:val="24"/>
                <w:lang w:val="en-US" w:eastAsia="zh-CN"/>
              </w:rPr>
              <w:t>14.</w:t>
            </w:r>
            <w:r>
              <w:rPr>
                <w:rFonts w:hint="eastAsia" w:cs="Times New Roman"/>
                <w:color w:val="auto"/>
                <w:kern w:val="0"/>
                <w:sz w:val="24"/>
                <w:szCs w:val="24"/>
                <w:lang w:val="en-US" w:eastAsia="zh-CN"/>
              </w:rPr>
              <w:t>132</w:t>
            </w:r>
            <w:r>
              <w:rPr>
                <w:rFonts w:hint="default" w:ascii="Times New Roman" w:hAnsi="Times New Roman" w:eastAsia="宋体" w:cs="Times New Roman"/>
                <w:color w:val="auto"/>
                <w:kern w:val="0"/>
                <w:sz w:val="24"/>
                <w:szCs w:val="24"/>
                <w:lang w:val="en-US" w:eastAsia="zh-CN"/>
              </w:rPr>
              <w:t>MJ/kg，参考尹协镇《粮食烘干过程中不同外部条件对烘干能耗的影响》中的数据“每烘干1kg水能耗取5400kJ/kg”，本项目所需生物质压块燃料量按照下方公式计算：</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position w:val="-28"/>
                <w:lang w:val="en-US" w:eastAsia="zh-CN"/>
              </w:rPr>
              <w:object>
                <v:shape id="_x0000_i1026" o:spt="75" type="#_x0000_t75" style="height:33pt;width:87pt;" o:ole="t" filled="f" o:preferrelative="t" stroked="f" coordsize="21600,21600">
                  <v:path/>
                  <v:fill on="f" focussize="0,0"/>
                  <v:stroke on="f"/>
                  <v:imagedata r:id="rId14" o:title=""/>
                  <o:lock v:ext="edit" aspectratio="t"/>
                  <w10:wrap type="none"/>
                  <w10:anchorlock/>
                </v:shape>
                <o:OLEObject Type="Embed" ProgID="Equation.KSEE3" ShapeID="_x0000_i1026" DrawAspect="Content" ObjectID="_1468075726" r:id="rId13">
                  <o:LockedField>false</o:LockedField>
                </o:OLEObject>
              </w:objec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式中：M：生物质压块燃料消耗量，t/a；</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kern w:val="0"/>
                <w:sz w:val="24"/>
                <w:szCs w:val="24"/>
                <w:lang w:val="en-US" w:eastAsia="zh-CN"/>
              </w:rPr>
              <w:t>e：烘干单位质量水的能耗，取5400kJ/kg，即5400MJ/t；</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m：水分蒸发量，本项目为</w:t>
            </w:r>
            <w:r>
              <w:rPr>
                <w:rFonts w:hint="eastAsia" w:cs="Times New Roman"/>
                <w:color w:val="auto"/>
                <w:kern w:val="0"/>
                <w:sz w:val="24"/>
                <w:szCs w:val="24"/>
                <w:lang w:val="en-US" w:eastAsia="zh-CN"/>
              </w:rPr>
              <w:t>2616</w:t>
            </w:r>
            <w:r>
              <w:rPr>
                <w:rFonts w:hint="default" w:ascii="Times New Roman" w:hAnsi="Times New Roman" w:eastAsia="宋体" w:cs="Times New Roman"/>
                <w:color w:val="auto"/>
                <w:kern w:val="0"/>
                <w:sz w:val="24"/>
                <w:szCs w:val="24"/>
                <w:lang w:val="en-US" w:eastAsia="zh-CN"/>
              </w:rPr>
              <w:t>t/a；</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Q：生物质压块燃料的收到基低位发热量，本项目为</w:t>
            </w:r>
            <w:r>
              <w:rPr>
                <w:rFonts w:hint="eastAsia" w:ascii="Times New Roman" w:hAnsi="Times New Roman" w:eastAsia="宋体" w:cs="Times New Roman"/>
                <w:color w:val="auto"/>
                <w:kern w:val="0"/>
                <w:sz w:val="24"/>
                <w:szCs w:val="24"/>
                <w:lang w:val="en-US" w:eastAsia="zh-CN"/>
              </w:rPr>
              <w:t>14.</w:t>
            </w:r>
            <w:r>
              <w:rPr>
                <w:rFonts w:hint="eastAsia" w:cs="Times New Roman"/>
                <w:color w:val="auto"/>
                <w:kern w:val="0"/>
                <w:sz w:val="24"/>
                <w:szCs w:val="24"/>
                <w:lang w:val="en-US" w:eastAsia="zh-CN"/>
              </w:rPr>
              <w:t>132</w:t>
            </w:r>
            <w:r>
              <w:rPr>
                <w:rFonts w:hint="default" w:ascii="Times New Roman" w:hAnsi="Times New Roman" w:eastAsia="宋体" w:cs="Times New Roman"/>
                <w:color w:val="auto"/>
                <w:kern w:val="0"/>
                <w:sz w:val="24"/>
                <w:szCs w:val="24"/>
                <w:lang w:val="en-US" w:eastAsia="zh-CN"/>
              </w:rPr>
              <w:t>MJ/kg；</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 xml:space="preserve">      η：热风炉热效率，本项目为80%。</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则本项目生物质压</w:t>
            </w:r>
            <w:r>
              <w:rPr>
                <w:rFonts w:hint="eastAsia" w:ascii="Times New Roman" w:hAnsi="Times New Roman" w:eastAsia="宋体" w:cs="Times New Roman"/>
                <w:color w:val="auto"/>
                <w:kern w:val="0"/>
                <w:sz w:val="24"/>
                <w:szCs w:val="24"/>
                <w:lang w:val="en-US" w:eastAsia="zh-CN"/>
              </w:rPr>
              <w:t>块</w:t>
            </w:r>
            <w:r>
              <w:rPr>
                <w:rFonts w:hint="default" w:ascii="Times New Roman" w:hAnsi="Times New Roman" w:eastAsia="宋体" w:cs="Times New Roman"/>
                <w:color w:val="auto"/>
                <w:kern w:val="0"/>
                <w:sz w:val="24"/>
                <w:szCs w:val="24"/>
                <w:lang w:val="en-US" w:eastAsia="zh-CN"/>
              </w:rPr>
              <w:t>燃料消耗量为</w:t>
            </w:r>
            <w:r>
              <w:rPr>
                <w:rFonts w:hint="eastAsia" w:cs="Times New Roman"/>
                <w:color w:val="auto"/>
                <w:kern w:val="0"/>
                <w:sz w:val="24"/>
                <w:szCs w:val="24"/>
                <w:lang w:val="en-US" w:eastAsia="zh-CN"/>
              </w:rPr>
              <w:t>1250</w:t>
            </w:r>
            <w:r>
              <w:rPr>
                <w:rFonts w:hint="default" w:ascii="Times New Roman" w:hAnsi="Times New Roman" w:eastAsia="宋体" w:cs="Times New Roman"/>
                <w:color w:val="auto"/>
                <w:kern w:val="0"/>
                <w:sz w:val="24"/>
                <w:szCs w:val="24"/>
                <w:lang w:val="en-US" w:eastAsia="zh-CN"/>
              </w:rPr>
              <w:t>t/a。</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③水量计算：</w:t>
            </w:r>
          </w:p>
          <w:p>
            <w:pPr>
              <w:pStyle w:val="38"/>
              <w:rPr>
                <w:rFonts w:hint="default"/>
                <w:color w:val="auto"/>
                <w:lang w:val="en-US" w:eastAsia="zh-CN"/>
              </w:rPr>
            </w:pPr>
            <w:r>
              <w:rPr>
                <w:rFonts w:hint="eastAsia" w:ascii="Times New Roman" w:hAnsi="Times New Roman" w:eastAsia="宋体" w:cs="Times New Roman"/>
                <w:color w:val="auto"/>
                <w:kern w:val="0"/>
                <w:sz w:val="24"/>
                <w:szCs w:val="24"/>
                <w:lang w:val="en-US" w:eastAsia="zh-CN"/>
              </w:rPr>
              <w:t>（1）生活用水</w:t>
            </w:r>
          </w:p>
          <w:p>
            <w:pPr>
              <w:pStyle w:val="27"/>
              <w:tabs>
                <w:tab w:val="left" w:pos="1485"/>
              </w:tabs>
              <w:adjustRightInd w:val="0"/>
              <w:snapToGrid w:val="0"/>
              <w:spacing w:after="0" w:line="360" w:lineRule="auto"/>
              <w:ind w:firstLineChars="200"/>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本项目生活用水量根据</w:t>
            </w:r>
            <w:r>
              <w:rPr>
                <w:rFonts w:hint="default" w:ascii="Times New Roman" w:hAnsi="Times New Roman" w:cs="Times New Roman"/>
                <w:color w:val="auto"/>
                <w:sz w:val="24"/>
                <w:szCs w:val="24"/>
                <w:highlight w:val="none"/>
              </w:rPr>
              <w:t>黑龙江省地方标准</w:t>
            </w:r>
            <w:r>
              <w:rPr>
                <w:rFonts w:hint="default" w:ascii="Times New Roman" w:hAnsi="Times New Roman" w:eastAsia="宋体" w:cs="Times New Roman"/>
                <w:color w:val="auto"/>
                <w:kern w:val="0"/>
                <w:sz w:val="24"/>
                <w:szCs w:val="24"/>
                <w:highlight w:val="none"/>
                <w:lang w:val="en-US" w:eastAsia="zh-CN"/>
              </w:rPr>
              <w:t>《用水定额》（DB23/T 727-2025）表H.2确定，用水定额为80L/（人·d），本项目劳动定员</w:t>
            </w:r>
            <w:r>
              <w:rPr>
                <w:rFonts w:hint="eastAsia" w:cs="Times New Roman"/>
                <w:color w:val="auto"/>
                <w:kern w:val="0"/>
                <w:sz w:val="24"/>
                <w:szCs w:val="24"/>
                <w:highlight w:val="none"/>
                <w:lang w:val="en-US" w:eastAsia="zh-CN"/>
              </w:rPr>
              <w:t>10</w:t>
            </w:r>
            <w:r>
              <w:rPr>
                <w:rFonts w:hint="default" w:ascii="Times New Roman" w:hAnsi="Times New Roman" w:eastAsia="宋体" w:cs="Times New Roman"/>
                <w:color w:val="auto"/>
                <w:kern w:val="0"/>
                <w:sz w:val="24"/>
                <w:szCs w:val="24"/>
                <w:highlight w:val="none"/>
                <w:lang w:val="en-US" w:eastAsia="zh-CN"/>
              </w:rPr>
              <w:t>人，则本项目生活用水为</w:t>
            </w:r>
            <w:r>
              <w:rPr>
                <w:rFonts w:hint="eastAsia" w:cs="Times New Roman"/>
                <w:color w:val="auto"/>
                <w:kern w:val="0"/>
                <w:sz w:val="24"/>
                <w:szCs w:val="24"/>
                <w:highlight w:val="none"/>
                <w:lang w:val="en-US" w:eastAsia="zh-CN"/>
              </w:rPr>
              <w:t>0.8t</w:t>
            </w:r>
            <w:r>
              <w:rPr>
                <w:rFonts w:hint="default" w:ascii="Times New Roman" w:hAnsi="Times New Roman" w:eastAsia="宋体" w:cs="Times New Roman"/>
                <w:color w:val="auto"/>
                <w:kern w:val="0"/>
                <w:sz w:val="24"/>
                <w:szCs w:val="24"/>
                <w:highlight w:val="none"/>
                <w:lang w:val="en-US" w:eastAsia="zh-CN"/>
              </w:rPr>
              <w:t>/d，</w:t>
            </w:r>
            <w:r>
              <w:rPr>
                <w:rFonts w:hint="eastAsia" w:cs="Times New Roman"/>
                <w:color w:val="auto"/>
                <w:kern w:val="0"/>
                <w:sz w:val="24"/>
                <w:szCs w:val="24"/>
                <w:highlight w:val="none"/>
                <w:lang w:val="en-US" w:eastAsia="zh-CN"/>
              </w:rPr>
              <w:t>24t</w:t>
            </w:r>
            <w:r>
              <w:rPr>
                <w:rFonts w:hint="default" w:ascii="Times New Roman" w:hAnsi="Times New Roman" w:eastAsia="宋体" w:cs="Times New Roman"/>
                <w:color w:val="auto"/>
                <w:kern w:val="0"/>
                <w:sz w:val="24"/>
                <w:szCs w:val="24"/>
                <w:highlight w:val="none"/>
                <w:lang w:val="en-US" w:eastAsia="zh-CN"/>
              </w:rPr>
              <w:t>/a。</w:t>
            </w:r>
          </w:p>
          <w:p>
            <w:pPr>
              <w:pStyle w:val="91"/>
              <w:ind w:firstLine="480"/>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（2）生活污水</w:t>
            </w:r>
          </w:p>
          <w:p>
            <w:pPr>
              <w:pStyle w:val="91"/>
              <w:ind w:firstLine="48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0"/>
                <w:sz w:val="24"/>
                <w:szCs w:val="24"/>
                <w:lang w:val="en-US" w:eastAsia="zh-CN"/>
              </w:rPr>
              <w:t>生活污</w:t>
            </w:r>
            <w:r>
              <w:rPr>
                <w:rFonts w:hint="default" w:ascii="Times New Roman" w:hAnsi="Times New Roman" w:eastAsia="宋体" w:cs="Times New Roman"/>
                <w:color w:val="auto"/>
                <w:kern w:val="0"/>
                <w:sz w:val="24"/>
                <w:szCs w:val="24"/>
                <w:highlight w:val="none"/>
                <w:lang w:val="en-US" w:eastAsia="zh-CN"/>
              </w:rPr>
              <w:t>水产污系数为0.8，则</w:t>
            </w:r>
            <w:r>
              <w:rPr>
                <w:rFonts w:hint="eastAsia" w:ascii="Times New Roman" w:hAnsi="Times New Roman" w:eastAsia="宋体" w:cs="Times New Roman"/>
                <w:color w:val="auto"/>
                <w:kern w:val="0"/>
                <w:sz w:val="24"/>
                <w:szCs w:val="24"/>
                <w:highlight w:val="none"/>
                <w:lang w:val="en-US" w:eastAsia="zh-CN"/>
              </w:rPr>
              <w:t>本项目废水</w:t>
            </w:r>
            <w:r>
              <w:rPr>
                <w:rFonts w:hint="default" w:ascii="Times New Roman" w:hAnsi="Times New Roman" w:eastAsia="宋体" w:cs="Times New Roman"/>
                <w:color w:val="auto"/>
                <w:kern w:val="0"/>
                <w:sz w:val="24"/>
                <w:szCs w:val="24"/>
                <w:highlight w:val="none"/>
                <w:lang w:val="en-US" w:eastAsia="zh-CN"/>
              </w:rPr>
              <w:t>产生量为</w:t>
            </w:r>
            <w:r>
              <w:rPr>
                <w:rFonts w:hint="eastAsia" w:cs="Times New Roman"/>
                <w:color w:val="auto"/>
                <w:kern w:val="0"/>
                <w:sz w:val="24"/>
                <w:szCs w:val="24"/>
                <w:highlight w:val="none"/>
                <w:lang w:val="en-US" w:eastAsia="zh-CN"/>
              </w:rPr>
              <w:t>0.64t</w:t>
            </w:r>
            <w:r>
              <w:rPr>
                <w:rFonts w:hint="default" w:ascii="Times New Roman" w:hAnsi="Times New Roman" w:eastAsia="宋体" w:cs="Times New Roman"/>
                <w:color w:val="auto"/>
                <w:kern w:val="0"/>
                <w:sz w:val="24"/>
                <w:szCs w:val="24"/>
                <w:highlight w:val="none"/>
                <w:lang w:val="en-US" w:eastAsia="zh-CN"/>
              </w:rPr>
              <w:t>/d，</w:t>
            </w:r>
            <w:r>
              <w:rPr>
                <w:rFonts w:hint="eastAsia" w:cs="Times New Roman"/>
                <w:color w:val="auto"/>
                <w:kern w:val="0"/>
                <w:sz w:val="24"/>
                <w:szCs w:val="24"/>
                <w:highlight w:val="none"/>
                <w:lang w:val="en-US" w:eastAsia="zh-CN"/>
              </w:rPr>
              <w:t>19.2t</w:t>
            </w:r>
            <w:r>
              <w:rPr>
                <w:rFonts w:hint="default" w:ascii="Times New Roman" w:hAnsi="Times New Roman" w:eastAsia="宋体" w:cs="Times New Roman"/>
                <w:color w:val="auto"/>
                <w:kern w:val="0"/>
                <w:sz w:val="24"/>
                <w:szCs w:val="24"/>
                <w:highlight w:val="none"/>
                <w:lang w:val="en-US" w:eastAsia="zh-CN"/>
              </w:rPr>
              <w:t>/a。</w:t>
            </w:r>
            <w:r>
              <w:rPr>
                <w:rFonts w:hint="default" w:ascii="Times New Roman" w:hAnsi="Times New Roman" w:eastAsia="宋体" w:cs="Times New Roman"/>
                <w:color w:val="auto"/>
                <w:sz w:val="24"/>
                <w:szCs w:val="24"/>
                <w:highlight w:val="none"/>
                <w:lang w:val="en-US" w:eastAsia="zh-CN"/>
              </w:rPr>
              <w:t>生活污水排入防渗旱厕定期清掏，外运堆肥。</w:t>
            </w:r>
          </w:p>
          <w:p>
            <w:pPr>
              <w:pStyle w:val="91"/>
              <w:numPr>
                <w:ilvl w:val="0"/>
                <w:numId w:val="3"/>
              </w:numPr>
              <w:ind w:firstLine="48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初期雨水</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color w:val="auto"/>
                <w:kern w:val="0"/>
                <w:sz w:val="24"/>
              </w:rPr>
            </w:pPr>
            <w:r>
              <w:rPr>
                <w:rFonts w:hint="eastAsia"/>
                <w:color w:val="auto"/>
                <w:kern w:val="0"/>
                <w:sz w:val="24"/>
              </w:rPr>
              <w:t>厂区雨水设计参照</w:t>
            </w:r>
            <w:r>
              <w:rPr>
                <w:rFonts w:hint="eastAsia"/>
                <w:color w:val="auto"/>
                <w:kern w:val="0"/>
                <w:sz w:val="24"/>
                <w:lang w:val="en-US" w:eastAsia="zh-CN"/>
              </w:rPr>
              <w:t>伊春</w:t>
            </w:r>
            <w:r>
              <w:rPr>
                <w:rFonts w:hint="eastAsia"/>
                <w:color w:val="auto"/>
                <w:kern w:val="0"/>
                <w:sz w:val="24"/>
                <w:lang w:eastAsia="zh-CN"/>
              </w:rPr>
              <w:t>市</w:t>
            </w:r>
            <w:r>
              <w:rPr>
                <w:rFonts w:hint="eastAsia"/>
                <w:color w:val="auto"/>
                <w:kern w:val="0"/>
                <w:sz w:val="24"/>
              </w:rPr>
              <w:t>地区暴雨强度进行，本项目初期雨水考虑收集前15min雨水。</w:t>
            </w:r>
          </w:p>
          <w:p>
            <w:pPr>
              <w:pStyle w:val="8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当地暴雨强度公式如下：</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rPr>
              <w:t>q=1820×（1+0.91×lgP）/（t+8.3）</w:t>
            </w:r>
            <w:r>
              <w:rPr>
                <w:color w:val="auto"/>
                <w:sz w:val="24"/>
                <w:vertAlign w:val="superscript"/>
              </w:rPr>
              <w:t>0.77</w:t>
            </w:r>
          </w:p>
          <w:p>
            <w:pPr>
              <w:keepNext w:val="0"/>
              <w:keepLines w:val="0"/>
              <w:pageBreakBefore w:val="0"/>
              <w:widowControl w:val="0"/>
              <w:kinsoku/>
              <w:wordWrap/>
              <w:overflowPunct/>
              <w:topLinePunct w:val="0"/>
              <w:autoSpaceDE/>
              <w:autoSpaceDN/>
              <w:bidi w:val="0"/>
              <w:adjustRightInd/>
              <w:snapToGrid/>
              <w:spacing w:line="360" w:lineRule="auto"/>
              <w:ind w:firstLine="465"/>
              <w:jc w:val="left"/>
              <w:textAlignment w:val="auto"/>
              <w:rPr>
                <w:color w:val="auto"/>
                <w:sz w:val="24"/>
              </w:rPr>
            </w:pPr>
            <w:r>
              <w:rPr>
                <w:color w:val="auto"/>
                <w:sz w:val="24"/>
              </w:rPr>
              <w:t>式中：q—设计暴雨强度</w:t>
            </w:r>
            <w:r>
              <w:rPr>
                <w:rFonts w:hint="eastAsia"/>
                <w:color w:val="auto"/>
                <w:sz w:val="24"/>
              </w:rPr>
              <w:t>，</w:t>
            </w:r>
            <w:r>
              <w:rPr>
                <w:color w:val="auto"/>
                <w:sz w:val="24"/>
              </w:rPr>
              <w:t>L/（s·ha）；</w:t>
            </w:r>
          </w:p>
          <w:p>
            <w:pPr>
              <w:keepNext w:val="0"/>
              <w:keepLines w:val="0"/>
              <w:pageBreakBefore w:val="0"/>
              <w:widowControl w:val="0"/>
              <w:kinsoku/>
              <w:wordWrap/>
              <w:overflowPunct/>
              <w:topLinePunct w:val="0"/>
              <w:autoSpaceDE/>
              <w:autoSpaceDN/>
              <w:bidi w:val="0"/>
              <w:adjustRightInd/>
              <w:snapToGrid/>
              <w:spacing w:line="360" w:lineRule="auto"/>
              <w:ind w:firstLine="1180" w:firstLineChars="492"/>
              <w:jc w:val="left"/>
              <w:textAlignment w:val="auto"/>
              <w:rPr>
                <w:color w:val="auto"/>
                <w:sz w:val="24"/>
              </w:rPr>
            </w:pPr>
            <w:r>
              <w:rPr>
                <w:color w:val="auto"/>
                <w:sz w:val="24"/>
              </w:rPr>
              <w:t>P—设计重现期</w:t>
            </w:r>
            <w:r>
              <w:rPr>
                <w:rFonts w:hint="eastAsia"/>
                <w:color w:val="auto"/>
                <w:sz w:val="24"/>
              </w:rPr>
              <w:t>，取5</w:t>
            </w:r>
            <w:r>
              <w:rPr>
                <w:color w:val="auto"/>
                <w:sz w:val="24"/>
              </w:rPr>
              <w:t>a；</w:t>
            </w:r>
          </w:p>
          <w:p>
            <w:pPr>
              <w:keepNext w:val="0"/>
              <w:keepLines w:val="0"/>
              <w:pageBreakBefore w:val="0"/>
              <w:widowControl w:val="0"/>
              <w:kinsoku/>
              <w:wordWrap/>
              <w:overflowPunct/>
              <w:topLinePunct w:val="0"/>
              <w:autoSpaceDE/>
              <w:autoSpaceDN/>
              <w:bidi w:val="0"/>
              <w:adjustRightInd/>
              <w:snapToGrid/>
              <w:spacing w:line="360" w:lineRule="auto"/>
              <w:ind w:firstLine="1180" w:firstLineChars="492"/>
              <w:jc w:val="left"/>
              <w:textAlignment w:val="auto"/>
              <w:rPr>
                <w:color w:val="auto"/>
                <w:sz w:val="24"/>
              </w:rPr>
            </w:pPr>
            <w:r>
              <w:rPr>
                <w:color w:val="auto"/>
                <w:sz w:val="24"/>
              </w:rPr>
              <w:t>t—设计降雨历时</w:t>
            </w:r>
            <w:r>
              <w:rPr>
                <w:rFonts w:hint="eastAsia"/>
                <w:color w:val="auto"/>
                <w:sz w:val="24"/>
              </w:rPr>
              <w:t>，取15</w:t>
            </w:r>
            <w:r>
              <w:rPr>
                <w:color w:val="auto"/>
                <w:sz w:val="24"/>
              </w:rPr>
              <w:t>min。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初期雨水量计算公式：</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rPr>
              <w:t>Q</w:t>
            </w:r>
            <w:r>
              <w:rPr>
                <w:color w:val="auto"/>
                <w:sz w:val="24"/>
                <w:vertAlign w:val="subscript"/>
              </w:rPr>
              <w:t>y</w:t>
            </w:r>
            <w:r>
              <w:rPr>
                <w:color w:val="auto"/>
                <w:sz w:val="24"/>
              </w:rPr>
              <w:t>=Ψ·q·F计算</w:t>
            </w:r>
          </w:p>
          <w:p>
            <w:pPr>
              <w:keepNext w:val="0"/>
              <w:keepLines w:val="0"/>
              <w:pageBreakBefore w:val="0"/>
              <w:widowControl w:val="0"/>
              <w:kinsoku/>
              <w:wordWrap/>
              <w:overflowPunct/>
              <w:topLinePunct w:val="0"/>
              <w:autoSpaceDE/>
              <w:autoSpaceDN/>
              <w:bidi w:val="0"/>
              <w:adjustRightInd/>
              <w:snapToGrid/>
              <w:spacing w:line="360" w:lineRule="auto"/>
              <w:ind w:firstLine="465"/>
              <w:jc w:val="left"/>
              <w:textAlignment w:val="auto"/>
              <w:rPr>
                <w:color w:val="auto"/>
                <w:sz w:val="24"/>
              </w:rPr>
            </w:pPr>
            <w:r>
              <w:rPr>
                <w:color w:val="auto"/>
                <w:sz w:val="24"/>
              </w:rPr>
              <w:t>式中：Qy—雨水流量</w:t>
            </w:r>
            <w:r>
              <w:rPr>
                <w:rFonts w:hint="eastAsia"/>
                <w:color w:val="auto"/>
                <w:sz w:val="24"/>
              </w:rPr>
              <w:t>，</w:t>
            </w:r>
            <w:r>
              <w:rPr>
                <w:color w:val="auto"/>
                <w:sz w:val="24"/>
              </w:rPr>
              <w:t>L/s；</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Ψ—径流系数</w:t>
            </w:r>
            <w:r>
              <w:rPr>
                <w:rFonts w:hint="eastAsia"/>
                <w:color w:val="auto"/>
                <w:sz w:val="24"/>
              </w:rPr>
              <w:t>，</w:t>
            </w:r>
            <w:r>
              <w:rPr>
                <w:color w:val="auto"/>
                <w:sz w:val="24"/>
              </w:rPr>
              <w:t>取0.9；</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q—暴雨强度</w:t>
            </w:r>
            <w:r>
              <w:rPr>
                <w:rFonts w:hint="eastAsia"/>
                <w:color w:val="auto"/>
                <w:sz w:val="24"/>
              </w:rPr>
              <w:t>，</w:t>
            </w:r>
            <w:r>
              <w:rPr>
                <w:color w:val="auto"/>
                <w:sz w:val="24"/>
              </w:rPr>
              <w:t>L/（s·ha）；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F—汇水面积，本项目汇水面积</w:t>
            </w:r>
            <w:r>
              <w:rPr>
                <w:rFonts w:hint="eastAsia"/>
                <w:color w:val="auto"/>
                <w:sz w:val="24"/>
                <w:lang w:val="en-US" w:eastAsia="zh-CN"/>
              </w:rPr>
              <w:t>以厂区占地面积计，取1.0ha</w:t>
            </w:r>
            <w:r>
              <w:rPr>
                <w:color w:val="auto"/>
                <w:sz w:val="24"/>
              </w:rPr>
              <w:t>。</w:t>
            </w:r>
          </w:p>
          <w:p>
            <w:pPr>
              <w:pStyle w:val="91"/>
              <w:numPr>
                <w:ilvl w:val="0"/>
                <w:numId w:val="0"/>
              </w:numPr>
              <w:ind w:firstLine="480" w:firstLineChars="200"/>
              <w:jc w:val="center"/>
              <w:rPr>
                <w:rFonts w:hint="eastAsia" w:cs="Times New Roman"/>
                <w:b/>
                <w:bCs/>
                <w:color w:val="auto"/>
                <w:kern w:val="0"/>
                <w:sz w:val="24"/>
                <w:szCs w:val="24"/>
                <w:lang w:val="en-US" w:eastAsia="zh-CN"/>
              </w:rPr>
            </w:pPr>
            <w:r>
              <w:rPr>
                <w:color w:val="auto"/>
                <w:sz w:val="24"/>
              </w:rPr>
              <w:t>经计算暴雨强度q为263.67L/（s·ha），雨水流量Qy为</w:t>
            </w:r>
            <w:r>
              <w:rPr>
                <w:rFonts w:hint="eastAsia"/>
                <w:color w:val="auto"/>
                <w:sz w:val="24"/>
                <w:lang w:val="en-US" w:eastAsia="zh-CN"/>
              </w:rPr>
              <w:t>237.303</w:t>
            </w:r>
            <w:r>
              <w:rPr>
                <w:color w:val="auto"/>
                <w:sz w:val="24"/>
              </w:rPr>
              <w:t>L/s，则初期雨水量为</w:t>
            </w:r>
            <w:r>
              <w:rPr>
                <w:rFonts w:hint="eastAsia"/>
                <w:color w:val="auto"/>
                <w:sz w:val="24"/>
                <w:lang w:val="en-US" w:eastAsia="zh-CN"/>
              </w:rPr>
              <w:t>237.303</w:t>
            </w:r>
            <w:r>
              <w:rPr>
                <w:color w:val="auto"/>
                <w:sz w:val="24"/>
              </w:rPr>
              <w:t>×15×60÷1000=</w:t>
            </w:r>
            <w:r>
              <w:rPr>
                <w:rFonts w:hint="eastAsia"/>
                <w:color w:val="auto"/>
                <w:sz w:val="24"/>
                <w:lang w:val="en-US" w:eastAsia="zh-CN"/>
              </w:rPr>
              <w:t>214t</w:t>
            </w:r>
            <w:r>
              <w:rPr>
                <w:color w:val="auto"/>
                <w:sz w:val="24"/>
              </w:rPr>
              <w:t>，</w:t>
            </w:r>
            <w:r>
              <w:rPr>
                <w:rFonts w:hint="eastAsia"/>
                <w:color w:val="auto"/>
                <w:sz w:val="24"/>
                <w:lang w:val="en-US" w:eastAsia="zh-CN"/>
              </w:rPr>
              <w:t>暴雨次数取1次，本项目</w:t>
            </w:r>
            <w:r>
              <w:rPr>
                <w:rFonts w:hint="eastAsia" w:ascii="Times New Roman" w:hAnsi="Times New Roman" w:eastAsia="宋体" w:cs="Times New Roman"/>
                <w:color w:val="auto"/>
                <w:kern w:val="0"/>
                <w:sz w:val="24"/>
                <w:szCs w:val="24"/>
                <w:lang w:val="en-US" w:eastAsia="zh-CN" w:bidi="ar-SA"/>
              </w:rPr>
              <w:t>建1座容积</w:t>
            </w:r>
            <w:r>
              <w:rPr>
                <w:rFonts w:hint="eastAsia" w:cs="Times New Roman"/>
                <w:color w:val="auto"/>
                <w:kern w:val="0"/>
                <w:sz w:val="24"/>
                <w:szCs w:val="24"/>
                <w:lang w:val="en-US" w:eastAsia="zh-CN" w:bidi="ar-SA"/>
              </w:rPr>
              <w:t>220</w:t>
            </w:r>
            <w:r>
              <w:rPr>
                <w:rFonts w:hint="eastAsia" w:ascii="Times New Roman" w:hAnsi="Times New Roman" w:eastAsia="宋体" w:cs="Times New Roman"/>
                <w:color w:val="auto"/>
                <w:kern w:val="0"/>
                <w:sz w:val="24"/>
                <w:szCs w:val="24"/>
                <w:lang w:val="en-US" w:eastAsia="zh-CN" w:bidi="ar-SA"/>
              </w:rPr>
              <w:t>m</w:t>
            </w:r>
            <w:r>
              <w:rPr>
                <w:rFonts w:hint="eastAsia" w:ascii="Times New Roman" w:hAnsi="Times New Roman" w:eastAsia="宋体" w:cs="Times New Roman"/>
                <w:color w:val="auto"/>
                <w:kern w:val="0"/>
                <w:sz w:val="24"/>
                <w:szCs w:val="24"/>
                <w:vertAlign w:val="superscript"/>
                <w:lang w:val="en-US" w:eastAsia="zh-CN" w:bidi="ar-SA"/>
              </w:rPr>
              <w:t>3</w:t>
            </w:r>
            <w:r>
              <w:rPr>
                <w:rFonts w:hint="eastAsia" w:ascii="Times New Roman" w:hAnsi="Times New Roman" w:eastAsia="宋体" w:cs="Times New Roman"/>
                <w:color w:val="auto"/>
                <w:kern w:val="0"/>
                <w:sz w:val="24"/>
                <w:szCs w:val="24"/>
                <w:lang w:val="en-US" w:eastAsia="zh-CN" w:bidi="ar-SA"/>
              </w:rPr>
              <w:t>初期雨水收集池，本项目初期雨水产生量为</w:t>
            </w:r>
            <w:r>
              <w:rPr>
                <w:rFonts w:hint="eastAsia" w:cs="Times New Roman"/>
                <w:color w:val="auto"/>
                <w:kern w:val="0"/>
                <w:sz w:val="24"/>
                <w:szCs w:val="24"/>
                <w:lang w:val="en-US" w:eastAsia="zh-CN" w:bidi="ar-SA"/>
              </w:rPr>
              <w:t>214</w:t>
            </w:r>
            <w:r>
              <w:rPr>
                <w:rFonts w:hint="eastAsia"/>
                <w:color w:val="auto"/>
                <w:sz w:val="24"/>
                <w:lang w:val="en-US" w:eastAsia="zh-CN"/>
              </w:rPr>
              <w:t>t/a，</w:t>
            </w:r>
            <w:r>
              <w:rPr>
                <w:rFonts w:hint="eastAsia" w:ascii="Times New Roman" w:hAnsi="Times New Roman" w:eastAsia="宋体" w:cs="Times New Roman"/>
                <w:color w:val="auto"/>
                <w:kern w:val="0"/>
                <w:sz w:val="24"/>
                <w:szCs w:val="24"/>
                <w:lang w:val="en-US" w:eastAsia="zh-CN" w:bidi="ar-SA"/>
              </w:rPr>
              <w:t>初期雨水沉淀后用于</w:t>
            </w:r>
            <w:r>
              <w:rPr>
                <w:rFonts w:hint="eastAsia" w:cs="Times New Roman"/>
                <w:color w:val="auto"/>
                <w:kern w:val="0"/>
                <w:sz w:val="24"/>
                <w:szCs w:val="24"/>
                <w:lang w:val="en-US" w:eastAsia="zh-CN" w:bidi="ar-SA"/>
              </w:rPr>
              <w:t>厂区</w:t>
            </w:r>
            <w:r>
              <w:rPr>
                <w:rFonts w:hint="eastAsia" w:ascii="Times New Roman" w:hAnsi="Times New Roman" w:eastAsia="宋体" w:cs="Times New Roman"/>
                <w:color w:val="auto"/>
                <w:kern w:val="0"/>
                <w:sz w:val="24"/>
                <w:szCs w:val="24"/>
                <w:lang w:val="en-US" w:eastAsia="zh-CN" w:bidi="ar-SA"/>
              </w:rPr>
              <w:t>降尘。</w:t>
            </w:r>
            <w:r>
              <w:rPr>
                <w:rFonts w:hint="eastAsia" w:cs="Times New Roman"/>
                <w:b/>
                <w:bCs/>
                <w:color w:val="auto"/>
                <w:kern w:val="0"/>
                <w:sz w:val="24"/>
                <w:szCs w:val="24"/>
                <w:lang w:val="en-US" w:eastAsia="zh-CN"/>
              </w:rPr>
              <w:drawing>
                <wp:inline distT="0" distB="0" distL="114300" distR="114300">
                  <wp:extent cx="3563620" cy="1751965"/>
                  <wp:effectExtent l="0" t="0" r="0" b="0"/>
                  <wp:docPr id="15" name="E657119C-6982-421D-8BA7-E74DEB70A7D9-2" descr="C:/Users/WY001/AppData/Local/Temp/wps.aLkkDQ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657119C-6982-421D-8BA7-E74DEB70A7D9-2" descr="C:/Users/WY001/AppData/Local/Temp/wps.aLkkDQwps"/>
                          <pic:cNvPicPr>
                            <a:picLocks noChangeAspect="1"/>
                          </pic:cNvPicPr>
                        </pic:nvPicPr>
                        <pic:blipFill>
                          <a:blip r:embed="rId15"/>
                          <a:stretch>
                            <a:fillRect/>
                          </a:stretch>
                        </pic:blipFill>
                        <pic:spPr>
                          <a:xfrm>
                            <a:off x="0" y="0"/>
                            <a:ext cx="3563620" cy="1751965"/>
                          </a:xfrm>
                          <a:prstGeom prst="rect">
                            <a:avLst/>
                          </a:prstGeom>
                        </pic:spPr>
                      </pic:pic>
                    </a:graphicData>
                  </a:graphic>
                </wp:inline>
              </w:drawing>
            </w:r>
          </w:p>
          <w:p>
            <w:pPr>
              <w:spacing w:line="360" w:lineRule="auto"/>
              <w:ind w:firstLine="482" w:firstLineChars="200"/>
              <w:jc w:val="center"/>
              <w:rPr>
                <w:rFonts w:hint="default" w:ascii="Times New Roman" w:hAnsi="Times New Roman" w:eastAsia="宋体" w:cs="Times New Roman"/>
                <w:color w:val="auto"/>
                <w:sz w:val="24"/>
                <w:szCs w:val="24"/>
                <w:highlight w:val="none"/>
                <w:lang w:eastAsia="zh-CN"/>
              </w:rPr>
            </w:pPr>
            <w:r>
              <w:rPr>
                <w:rFonts w:hint="eastAsia" w:cs="Times New Roman"/>
                <w:b/>
                <w:bCs/>
                <w:color w:val="auto"/>
                <w:kern w:val="0"/>
                <w:sz w:val="24"/>
                <w:szCs w:val="24"/>
                <w:lang w:val="en-US" w:eastAsia="zh-CN"/>
              </w:rPr>
              <w:t>图2-2水平衡图（t/a）</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④</w:t>
            </w:r>
            <w:r>
              <w:rPr>
                <w:rFonts w:hint="default" w:ascii="Times New Roman" w:hAnsi="Times New Roman" w:eastAsia="宋体" w:cs="Times New Roman"/>
                <w:color w:val="auto"/>
                <w:sz w:val="24"/>
                <w:szCs w:val="24"/>
                <w:highlight w:val="none"/>
              </w:rPr>
              <w:t>供电</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由</w:t>
            </w:r>
            <w:r>
              <w:rPr>
                <w:rFonts w:hint="default" w:ascii="Times New Roman" w:hAnsi="Times New Roman" w:eastAsia="宋体" w:cs="Times New Roman"/>
                <w:color w:val="auto"/>
                <w:sz w:val="24"/>
                <w:szCs w:val="24"/>
                <w:highlight w:val="none"/>
                <w:lang w:val="en-US" w:eastAsia="zh-CN"/>
              </w:rPr>
              <w:t>国家电网</w:t>
            </w:r>
            <w:r>
              <w:rPr>
                <w:rFonts w:hint="default" w:ascii="Times New Roman" w:hAnsi="Times New Roman" w:eastAsia="宋体" w:cs="Times New Roman"/>
                <w:color w:val="auto"/>
                <w:sz w:val="24"/>
                <w:szCs w:val="24"/>
                <w:highlight w:val="none"/>
                <w:lang w:eastAsia="zh-CN"/>
              </w:rPr>
              <w:t>提供</w:t>
            </w:r>
            <w:r>
              <w:rPr>
                <w:rFonts w:hint="default" w:ascii="Times New Roman" w:hAnsi="Times New Roman" w:eastAsia="宋体" w:cs="Times New Roman"/>
                <w:color w:val="auto"/>
                <w:sz w:val="24"/>
                <w:szCs w:val="24"/>
                <w:highlight w:val="none"/>
                <w:lang w:val="zh-CN" w:eastAsia="zh-CN"/>
              </w:rPr>
              <w:t>。</w:t>
            </w:r>
          </w:p>
          <w:p>
            <w:pPr>
              <w:spacing w:line="360" w:lineRule="auto"/>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⑤</w:t>
            </w:r>
            <w:r>
              <w:rPr>
                <w:rFonts w:hint="default" w:ascii="Times New Roman" w:hAnsi="Times New Roman" w:eastAsia="宋体" w:cs="Times New Roman"/>
                <w:color w:val="auto"/>
                <w:sz w:val="24"/>
                <w:szCs w:val="24"/>
                <w:highlight w:val="none"/>
              </w:rPr>
              <w:t>供</w:t>
            </w:r>
            <w:r>
              <w:rPr>
                <w:rFonts w:hint="default" w:ascii="Times New Roman" w:hAnsi="Times New Roman" w:eastAsia="宋体" w:cs="Times New Roman"/>
                <w:color w:val="auto"/>
                <w:sz w:val="24"/>
                <w:szCs w:val="24"/>
                <w:highlight w:val="none"/>
                <w:lang w:eastAsia="zh-CN"/>
              </w:rPr>
              <w:t>热</w:t>
            </w:r>
          </w:p>
          <w:p>
            <w:pPr>
              <w:keepNext w:val="0"/>
              <w:keepLines w:val="0"/>
              <w:pageBreakBefore w:val="0"/>
              <w:widowControl w:val="0"/>
              <w:kinsoku/>
              <w:wordWrap/>
              <w:topLinePunct w:val="0"/>
              <w:bidi w:val="0"/>
              <w:snapToGrid/>
              <w:spacing w:line="360" w:lineRule="auto"/>
              <w:ind w:firstLine="480" w:firstLineChars="200"/>
              <w:rPr>
                <w:rFonts w:hint="default" w:ascii="Times New Roman" w:hAnsi="Times New Roman" w:cs="Times New Roman"/>
                <w:color w:val="auto"/>
                <w:lang w:val="en-US" w:eastAsia="zh-CN"/>
              </w:rPr>
            </w:pPr>
            <w:r>
              <w:rPr>
                <w:rFonts w:hint="default" w:ascii="Times New Roman" w:hAnsi="Times New Roman" w:eastAsia="宋体" w:cs="Times New Roman"/>
                <w:color w:val="auto"/>
                <w:sz w:val="24"/>
                <w:szCs w:val="24"/>
                <w:highlight w:val="none"/>
              </w:rPr>
              <w:t>本项目</w:t>
            </w:r>
            <w:r>
              <w:rPr>
                <w:rFonts w:hint="default" w:ascii="Times New Roman" w:hAnsi="Times New Roman" w:eastAsia="宋体" w:cs="Times New Roman"/>
                <w:color w:val="auto"/>
                <w:sz w:val="24"/>
                <w:szCs w:val="24"/>
                <w:highlight w:val="none"/>
                <w:lang w:val="en-US" w:eastAsia="zh-CN"/>
              </w:rPr>
              <w:t>生产供热由一台生物质热风炉提供，燃料为生物质成型燃料</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燃料消耗量为</w:t>
            </w:r>
            <w:r>
              <w:rPr>
                <w:rFonts w:hint="eastAsia" w:cs="Times New Roman"/>
                <w:color w:val="auto"/>
                <w:kern w:val="0"/>
                <w:sz w:val="24"/>
                <w:szCs w:val="24"/>
                <w:lang w:val="en-US" w:eastAsia="zh-CN"/>
              </w:rPr>
              <w:t>1250</w:t>
            </w:r>
            <w:r>
              <w:rPr>
                <w:rFonts w:hint="default" w:ascii="Times New Roman" w:hAnsi="Times New Roman" w:eastAsia="宋体" w:cs="Times New Roman"/>
                <w:color w:val="auto"/>
                <w:sz w:val="24"/>
                <w:szCs w:val="24"/>
                <w:highlight w:val="none"/>
                <w:lang w:val="en-US" w:eastAsia="zh-CN"/>
              </w:rPr>
              <w:t>t/a</w:t>
            </w:r>
            <w:r>
              <w:rPr>
                <w:rFonts w:hint="default" w:ascii="Times New Roman" w:hAnsi="Times New Roman" w:cs="Times New Roman"/>
                <w:color w:val="auto"/>
                <w:kern w:val="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auto"/>
                <w:kern w:val="0"/>
                <w:sz w:val="24"/>
                <w:szCs w:val="24"/>
                <w:lang w:val="en-US" w:eastAsia="zh-CN"/>
              </w:rPr>
            </w:pPr>
            <w:r>
              <w:rPr>
                <w:rFonts w:hint="eastAsia" w:ascii="Times New Roman" w:hAnsi="Times New Roman" w:cs="Times New Roman"/>
                <w:b/>
                <w:bCs/>
                <w:color w:val="auto"/>
                <w:kern w:val="0"/>
                <w:sz w:val="24"/>
                <w:szCs w:val="24"/>
                <w:lang w:val="en-US" w:eastAsia="zh-CN"/>
              </w:rPr>
              <w:t>4、</w:t>
            </w:r>
            <w:r>
              <w:rPr>
                <w:rFonts w:hint="default" w:ascii="Times New Roman" w:hAnsi="Times New Roman" w:cs="Times New Roman"/>
                <w:b/>
                <w:bCs/>
                <w:color w:val="auto"/>
                <w:kern w:val="0"/>
                <w:sz w:val="24"/>
                <w:szCs w:val="24"/>
                <w:lang w:val="en-US" w:eastAsia="zh-CN"/>
              </w:rPr>
              <w:t>劳动定员及工作制度</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lang w:val="en-US" w:eastAsia="zh-CN"/>
              </w:rPr>
              <w:t>本项目建成后</w:t>
            </w:r>
            <w:r>
              <w:rPr>
                <w:rFonts w:hint="default" w:ascii="Times New Roman" w:hAnsi="Times New Roman" w:cs="Times New Roman"/>
                <w:color w:val="auto"/>
                <w:kern w:val="0"/>
                <w:sz w:val="24"/>
                <w:szCs w:val="24"/>
                <w:highlight w:val="none"/>
                <w:lang w:val="en-US" w:eastAsia="zh-CN"/>
              </w:rPr>
              <w:t>工作人员约</w:t>
            </w:r>
            <w:r>
              <w:rPr>
                <w:rFonts w:hint="eastAsia" w:cs="Times New Roman"/>
                <w:color w:val="auto"/>
                <w:kern w:val="0"/>
                <w:sz w:val="24"/>
                <w:szCs w:val="24"/>
                <w:highlight w:val="none"/>
                <w:lang w:val="en-US" w:eastAsia="zh-CN"/>
              </w:rPr>
              <w:t>10</w:t>
            </w:r>
            <w:r>
              <w:rPr>
                <w:rFonts w:hint="default" w:ascii="Times New Roman" w:hAnsi="Times New Roman" w:cs="Times New Roman"/>
                <w:color w:val="auto"/>
                <w:kern w:val="0"/>
                <w:sz w:val="24"/>
                <w:szCs w:val="24"/>
                <w:highlight w:val="none"/>
                <w:lang w:val="en-US" w:eastAsia="zh-CN"/>
              </w:rPr>
              <w:t>人，烘干塔年工作</w:t>
            </w:r>
            <w:r>
              <w:rPr>
                <w:rFonts w:hint="eastAsia" w:cs="Times New Roman"/>
                <w:color w:val="auto"/>
                <w:kern w:val="0"/>
                <w:sz w:val="24"/>
                <w:szCs w:val="24"/>
                <w:highlight w:val="none"/>
                <w:lang w:val="en-US" w:eastAsia="zh-CN"/>
              </w:rPr>
              <w:t>30</w:t>
            </w:r>
            <w:r>
              <w:rPr>
                <w:rFonts w:hint="default" w:ascii="Times New Roman" w:hAnsi="Times New Roman" w:cs="Times New Roman"/>
                <w:color w:val="auto"/>
                <w:kern w:val="0"/>
                <w:sz w:val="24"/>
                <w:szCs w:val="24"/>
                <w:highlight w:val="none"/>
                <w:lang w:val="en-US" w:eastAsia="zh-CN"/>
              </w:rPr>
              <w:t>天。烘干塔及热风炉实际运行时长合计</w:t>
            </w:r>
            <w:r>
              <w:rPr>
                <w:rFonts w:hint="eastAsia" w:cs="Times New Roman"/>
                <w:color w:val="auto"/>
                <w:kern w:val="0"/>
                <w:sz w:val="24"/>
                <w:szCs w:val="24"/>
                <w:highlight w:val="none"/>
                <w:lang w:val="en-US" w:eastAsia="zh-CN"/>
              </w:rPr>
              <w:t>720</w:t>
            </w:r>
            <w:r>
              <w:rPr>
                <w:rFonts w:hint="default" w:ascii="Times New Roman" w:hAnsi="Times New Roman" w:cs="Times New Roman"/>
                <w:color w:val="auto"/>
                <w:kern w:val="0"/>
                <w:sz w:val="24"/>
                <w:szCs w:val="24"/>
                <w:highlight w:val="none"/>
                <w:lang w:val="en-US" w:eastAsia="zh-CN"/>
              </w:rPr>
              <w:t>h/a。全厂员工年工作</w:t>
            </w:r>
            <w:r>
              <w:rPr>
                <w:rFonts w:hint="eastAsia" w:cs="Times New Roman"/>
                <w:color w:val="auto"/>
                <w:kern w:val="0"/>
                <w:sz w:val="24"/>
                <w:szCs w:val="24"/>
                <w:highlight w:val="none"/>
                <w:lang w:val="en-US" w:eastAsia="zh-CN"/>
              </w:rPr>
              <w:t>30</w:t>
            </w:r>
            <w:r>
              <w:rPr>
                <w:rFonts w:hint="default" w:ascii="Times New Roman" w:hAnsi="Times New Roman" w:cs="Times New Roman"/>
                <w:color w:val="auto"/>
                <w:kern w:val="0"/>
                <w:sz w:val="24"/>
                <w:szCs w:val="24"/>
                <w:highlight w:val="none"/>
                <w:lang w:val="en-US" w:eastAsia="zh-CN"/>
              </w:rPr>
              <w:t>天。</w:t>
            </w:r>
          </w:p>
          <w:p>
            <w:pPr>
              <w:widowControl/>
              <w:spacing w:line="360" w:lineRule="auto"/>
              <w:rPr>
                <w:b/>
                <w:bCs/>
                <w:color w:val="auto"/>
                <w:kern w:val="0"/>
                <w:sz w:val="24"/>
                <w:highlight w:val="none"/>
              </w:rPr>
            </w:pPr>
            <w:r>
              <w:rPr>
                <w:rFonts w:hint="eastAsia"/>
                <w:b/>
                <w:bCs/>
                <w:color w:val="auto"/>
                <w:kern w:val="0"/>
                <w:sz w:val="24"/>
                <w:highlight w:val="none"/>
                <w:lang w:val="en-US" w:eastAsia="zh-CN"/>
              </w:rPr>
              <w:t>5</w:t>
            </w:r>
            <w:r>
              <w:rPr>
                <w:rFonts w:hint="eastAsia"/>
                <w:b/>
                <w:bCs/>
                <w:color w:val="auto"/>
                <w:kern w:val="0"/>
                <w:sz w:val="24"/>
                <w:highlight w:val="none"/>
              </w:rPr>
              <w:t>、</w:t>
            </w:r>
            <w:r>
              <w:rPr>
                <w:b/>
                <w:bCs/>
                <w:color w:val="auto"/>
                <w:kern w:val="0"/>
                <w:sz w:val="24"/>
                <w:highlight w:val="none"/>
              </w:rPr>
              <w:t>环保投资</w:t>
            </w:r>
          </w:p>
          <w:p>
            <w:pPr>
              <w:spacing w:line="360" w:lineRule="auto"/>
              <w:ind w:firstLine="480" w:firstLineChars="200"/>
              <w:rPr>
                <w:b/>
                <w:color w:val="auto"/>
                <w:sz w:val="24"/>
                <w:highlight w:val="yellow"/>
              </w:rPr>
            </w:pPr>
            <w:r>
              <w:rPr>
                <w:color w:val="auto"/>
                <w:sz w:val="24"/>
                <w:highlight w:val="none"/>
              </w:rPr>
              <w:t>本项目总投资</w:t>
            </w:r>
            <w:r>
              <w:rPr>
                <w:rFonts w:hint="eastAsia"/>
                <w:color w:val="auto"/>
                <w:sz w:val="24"/>
                <w:highlight w:val="none"/>
                <w:lang w:val="en-US" w:eastAsia="zh-CN"/>
              </w:rPr>
              <w:t>500</w:t>
            </w:r>
            <w:r>
              <w:rPr>
                <w:color w:val="auto"/>
                <w:sz w:val="24"/>
                <w:highlight w:val="none"/>
              </w:rPr>
              <w:t>万元，环保投资</w:t>
            </w:r>
            <w:r>
              <w:rPr>
                <w:rFonts w:hint="eastAsia"/>
                <w:color w:val="auto"/>
                <w:sz w:val="24"/>
                <w:highlight w:val="none"/>
                <w:lang w:val="en-US" w:eastAsia="zh-CN"/>
              </w:rPr>
              <w:t>10</w:t>
            </w:r>
            <w:r>
              <w:rPr>
                <w:color w:val="auto"/>
                <w:sz w:val="24"/>
                <w:highlight w:val="none"/>
              </w:rPr>
              <w:t>万元，环保总投资占项目总投资的</w:t>
            </w:r>
            <w:r>
              <w:rPr>
                <w:rFonts w:hint="eastAsia"/>
                <w:color w:val="auto"/>
                <w:sz w:val="24"/>
                <w:highlight w:val="none"/>
                <w:lang w:val="en-US" w:eastAsia="zh-CN"/>
              </w:rPr>
              <w:t>2.00</w:t>
            </w:r>
            <w:r>
              <w:rPr>
                <w:color w:val="auto"/>
                <w:sz w:val="24"/>
                <w:highlight w:val="none"/>
              </w:rPr>
              <w:t>%。环保投资详见表</w:t>
            </w:r>
            <w:r>
              <w:rPr>
                <w:rFonts w:hint="eastAsia"/>
                <w:color w:val="auto"/>
                <w:sz w:val="24"/>
                <w:highlight w:val="none"/>
                <w:lang w:val="en-US" w:eastAsia="zh-CN"/>
              </w:rPr>
              <w:t>2-5</w:t>
            </w:r>
            <w:r>
              <w:rPr>
                <w:color w:val="auto"/>
                <w:sz w:val="24"/>
                <w:highlight w:val="none"/>
              </w:rPr>
              <w:t>。</w:t>
            </w:r>
          </w:p>
          <w:p>
            <w:pPr>
              <w:spacing w:line="240" w:lineRule="auto"/>
              <w:jc w:val="center"/>
              <w:rPr>
                <w:b/>
                <w:color w:val="auto"/>
                <w:sz w:val="24"/>
                <w:szCs w:val="24"/>
                <w:highlight w:val="none"/>
              </w:rPr>
            </w:pPr>
            <w:r>
              <w:rPr>
                <w:b/>
                <w:color w:val="auto"/>
                <w:sz w:val="24"/>
                <w:szCs w:val="24"/>
                <w:highlight w:val="none"/>
              </w:rPr>
              <w:t>表</w:t>
            </w:r>
            <w:r>
              <w:rPr>
                <w:rFonts w:hint="eastAsia"/>
                <w:b/>
                <w:color w:val="auto"/>
                <w:sz w:val="24"/>
                <w:szCs w:val="24"/>
                <w:highlight w:val="none"/>
                <w:lang w:val="en-US" w:eastAsia="zh-CN"/>
              </w:rPr>
              <w:t>2-5</w:t>
            </w:r>
            <w:r>
              <w:rPr>
                <w:b/>
                <w:color w:val="auto"/>
                <w:sz w:val="24"/>
                <w:szCs w:val="24"/>
                <w:highlight w:val="none"/>
              </w:rPr>
              <w:t xml:space="preserve"> 环保投资一览表</w:t>
            </w:r>
          </w:p>
          <w:tbl>
            <w:tblPr>
              <w:tblStyle w:val="30"/>
              <w:tblW w:w="850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5570"/>
              <w:gridCol w:w="162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1313" w:type="dxa"/>
                  <w:noWrap w:val="0"/>
                  <w:vAlign w:val="center"/>
                </w:tcPr>
                <w:p>
                  <w:pPr>
                    <w:overflowPunct w:val="0"/>
                    <w:jc w:val="center"/>
                    <w:rPr>
                      <w:color w:val="auto"/>
                      <w:szCs w:val="21"/>
                      <w:highlight w:val="none"/>
                    </w:rPr>
                  </w:pPr>
                  <w:r>
                    <w:rPr>
                      <w:color w:val="auto"/>
                      <w:szCs w:val="21"/>
                      <w:highlight w:val="none"/>
                    </w:rPr>
                    <w:t>类别</w:t>
                  </w:r>
                </w:p>
              </w:tc>
              <w:tc>
                <w:tcPr>
                  <w:tcW w:w="5570" w:type="dxa"/>
                  <w:noWrap w:val="0"/>
                  <w:vAlign w:val="center"/>
                </w:tcPr>
                <w:p>
                  <w:pPr>
                    <w:overflowPunct w:val="0"/>
                    <w:jc w:val="center"/>
                    <w:rPr>
                      <w:color w:val="auto"/>
                      <w:szCs w:val="21"/>
                      <w:highlight w:val="none"/>
                    </w:rPr>
                  </w:pPr>
                  <w:r>
                    <w:rPr>
                      <w:color w:val="auto"/>
                      <w:szCs w:val="21"/>
                      <w:highlight w:val="none"/>
                    </w:rPr>
                    <w:t>治理措施</w:t>
                  </w:r>
                </w:p>
              </w:tc>
              <w:tc>
                <w:tcPr>
                  <w:tcW w:w="1621" w:type="dxa"/>
                  <w:noWrap w:val="0"/>
                  <w:vAlign w:val="center"/>
                </w:tcPr>
                <w:p>
                  <w:pPr>
                    <w:overflowPunct w:val="0"/>
                    <w:jc w:val="center"/>
                    <w:rPr>
                      <w:color w:val="auto"/>
                      <w:szCs w:val="21"/>
                      <w:highlight w:val="none"/>
                    </w:rPr>
                  </w:pPr>
                  <w:r>
                    <w:rPr>
                      <w:color w:val="auto"/>
                      <w:szCs w:val="21"/>
                      <w:highlight w:val="none"/>
                    </w:rPr>
                    <w:t>投资（万元）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313" w:type="dxa"/>
                  <w:vMerge w:val="restart"/>
                  <w:noWrap w:val="0"/>
                  <w:vAlign w:val="center"/>
                </w:tcPr>
                <w:p>
                  <w:pPr>
                    <w:overflowPunct w:val="0"/>
                    <w:jc w:val="center"/>
                    <w:rPr>
                      <w:color w:val="auto"/>
                      <w:szCs w:val="21"/>
                      <w:highlight w:val="none"/>
                    </w:rPr>
                  </w:pPr>
                  <w:r>
                    <w:rPr>
                      <w:color w:val="auto"/>
                      <w:szCs w:val="21"/>
                      <w:highlight w:val="none"/>
                    </w:rPr>
                    <w:t>废气</w:t>
                  </w:r>
                </w:p>
              </w:tc>
              <w:tc>
                <w:tcPr>
                  <w:tcW w:w="5570" w:type="dxa"/>
                  <w:noWrap w:val="0"/>
                  <w:vAlign w:val="center"/>
                </w:tcPr>
                <w:p>
                  <w:pPr>
                    <w:overflowPunct w:val="0"/>
                    <w:jc w:val="center"/>
                    <w:rPr>
                      <w:color w:val="auto"/>
                      <w:szCs w:val="21"/>
                      <w:highlight w:val="none"/>
                    </w:rPr>
                  </w:pPr>
                  <w:r>
                    <w:rPr>
                      <w:rFonts w:hint="eastAsia"/>
                      <w:color w:val="auto"/>
                      <w:szCs w:val="21"/>
                      <w:highlight w:val="none"/>
                    </w:rPr>
                    <w:t>管道接口全封闭、圆筒筛</w:t>
                  </w:r>
                  <w:r>
                    <w:rPr>
                      <w:rFonts w:hint="eastAsia"/>
                      <w:color w:val="auto"/>
                      <w:szCs w:val="21"/>
                      <w:highlight w:val="none"/>
                      <w:lang w:val="en-US" w:eastAsia="zh-CN"/>
                    </w:rPr>
                    <w:t>封闭</w:t>
                  </w:r>
                  <w:r>
                    <w:rPr>
                      <w:rFonts w:hint="eastAsia"/>
                      <w:color w:val="auto"/>
                      <w:szCs w:val="21"/>
                      <w:highlight w:val="none"/>
                    </w:rPr>
                    <w:t>以及封闭粮食输送机</w:t>
                  </w:r>
                </w:p>
              </w:tc>
              <w:tc>
                <w:tcPr>
                  <w:tcW w:w="1621" w:type="dxa"/>
                  <w:noWrap w:val="0"/>
                  <w:vAlign w:val="center"/>
                </w:tcPr>
                <w:p>
                  <w:pPr>
                    <w:overflowPunct w:val="0"/>
                    <w:jc w:val="center"/>
                    <w:rPr>
                      <w:rFonts w:hint="eastAsia" w:eastAsia="宋体"/>
                      <w:color w:val="auto"/>
                      <w:szCs w:val="21"/>
                      <w:highlight w:val="none"/>
                      <w:lang w:eastAsia="zh-CN"/>
                    </w:rPr>
                  </w:pPr>
                  <w:r>
                    <w:rPr>
                      <w:rFonts w:hint="eastAsia"/>
                      <w:color w:val="auto"/>
                      <w:szCs w:val="21"/>
                      <w:highlight w:val="none"/>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36" w:hRule="atLeast"/>
                <w:jc w:val="center"/>
              </w:trPr>
              <w:tc>
                <w:tcPr>
                  <w:tcW w:w="1313" w:type="dxa"/>
                  <w:vMerge w:val="continue"/>
                  <w:noWrap w:val="0"/>
                  <w:vAlign w:val="center"/>
                </w:tcPr>
                <w:p>
                  <w:pPr>
                    <w:overflowPunct w:val="0"/>
                    <w:jc w:val="center"/>
                    <w:rPr>
                      <w:color w:val="auto"/>
                      <w:szCs w:val="21"/>
                      <w:highlight w:val="none"/>
                    </w:rPr>
                  </w:pPr>
                </w:p>
              </w:tc>
              <w:tc>
                <w:tcPr>
                  <w:tcW w:w="5570" w:type="dxa"/>
                  <w:noWrap w:val="0"/>
                  <w:vAlign w:val="center"/>
                </w:tcPr>
                <w:p>
                  <w:pPr>
                    <w:overflowPunct w:val="0"/>
                    <w:jc w:val="center"/>
                    <w:rPr>
                      <w:rFonts w:hint="eastAsia" w:eastAsia="宋体"/>
                      <w:color w:val="auto"/>
                      <w:szCs w:val="21"/>
                      <w:highlight w:val="none"/>
                      <w:lang w:eastAsia="zh-CN"/>
                    </w:rPr>
                  </w:pPr>
                  <w:r>
                    <w:rPr>
                      <w:rFonts w:hint="eastAsia"/>
                      <w:color w:val="auto"/>
                      <w:szCs w:val="21"/>
                      <w:highlight w:val="none"/>
                    </w:rPr>
                    <w:t>灰渣间附近定期洒水降尘、原粮堆存在厂区内建设的</w:t>
                  </w:r>
                  <w:r>
                    <w:rPr>
                      <w:rFonts w:hint="eastAsia"/>
                      <w:color w:val="auto"/>
                      <w:szCs w:val="21"/>
                      <w:highlight w:val="none"/>
                      <w:lang w:eastAsia="zh-CN"/>
                    </w:rPr>
                    <w:t>厂房</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eastAsia="宋体"/>
                      <w:color w:val="auto"/>
                      <w:szCs w:val="21"/>
                      <w:highlight w:val="none"/>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65" w:hRule="atLeast"/>
                <w:jc w:val="center"/>
              </w:trPr>
              <w:tc>
                <w:tcPr>
                  <w:tcW w:w="1313" w:type="dxa"/>
                  <w:vMerge w:val="continue"/>
                  <w:noWrap w:val="0"/>
                  <w:vAlign w:val="center"/>
                </w:tcPr>
                <w:p>
                  <w:pPr>
                    <w:overflowPunct w:val="0"/>
                    <w:jc w:val="center"/>
                    <w:rPr>
                      <w:color w:val="auto"/>
                      <w:szCs w:val="21"/>
                      <w:highlight w:val="none"/>
                    </w:rPr>
                  </w:pPr>
                </w:p>
              </w:tc>
              <w:tc>
                <w:tcPr>
                  <w:tcW w:w="5570" w:type="dxa"/>
                  <w:noWrap w:val="0"/>
                  <w:vAlign w:val="center"/>
                </w:tcPr>
                <w:p>
                  <w:pPr>
                    <w:overflowPunct w:val="0"/>
                    <w:jc w:val="center"/>
                    <w:rPr>
                      <w:rFonts w:hint="eastAsia" w:eastAsia="宋体"/>
                      <w:color w:val="auto"/>
                      <w:szCs w:val="21"/>
                      <w:highlight w:val="none"/>
                      <w:lang w:eastAsia="zh-CN"/>
                    </w:rPr>
                  </w:pPr>
                  <w:r>
                    <w:rPr>
                      <w:rFonts w:hint="eastAsia"/>
                      <w:color w:val="auto"/>
                      <w:szCs w:val="21"/>
                      <w:highlight w:val="none"/>
                    </w:rPr>
                    <w:t>热风炉</w:t>
                  </w:r>
                  <w:r>
                    <w:rPr>
                      <w:rFonts w:hint="eastAsia"/>
                      <w:color w:val="auto"/>
                      <w:szCs w:val="21"/>
                      <w:highlight w:val="none"/>
                      <w:lang w:val="en-US" w:eastAsia="zh-CN"/>
                    </w:rPr>
                    <w:t>采用低氮燃烧技术，</w:t>
                  </w:r>
                  <w:r>
                    <w:rPr>
                      <w:rFonts w:hint="eastAsia"/>
                      <w:color w:val="auto"/>
                      <w:szCs w:val="21"/>
                      <w:highlight w:val="none"/>
                    </w:rPr>
                    <w:t>烟气</w:t>
                  </w:r>
                  <w:r>
                    <w:rPr>
                      <w:rFonts w:hint="eastAsia" w:ascii="Times New Roman" w:hAnsi="Times New Roman"/>
                      <w:bCs/>
                      <w:color w:val="auto"/>
                      <w:szCs w:val="21"/>
                      <w:highlight w:val="none"/>
                      <w:lang w:eastAsia="zh-CN"/>
                    </w:rPr>
                    <w:t>通过</w:t>
                  </w:r>
                  <w:r>
                    <w:rPr>
                      <w:rFonts w:ascii="Times New Roman" w:hAnsi="Times New Roman"/>
                      <w:bCs/>
                      <w:color w:val="auto"/>
                      <w:szCs w:val="21"/>
                      <w:highlight w:val="none"/>
                    </w:rPr>
                    <w:t>布袋除尘器</w:t>
                  </w:r>
                  <w:r>
                    <w:rPr>
                      <w:rFonts w:hint="eastAsia"/>
                      <w:color w:val="auto"/>
                      <w:szCs w:val="21"/>
                      <w:highlight w:val="none"/>
                      <w:lang w:val="en-US" w:eastAsia="zh-CN"/>
                    </w:rPr>
                    <w:t>+15</w:t>
                  </w:r>
                  <w:r>
                    <w:rPr>
                      <w:rFonts w:hint="eastAsia"/>
                      <w:color w:val="auto"/>
                      <w:szCs w:val="21"/>
                      <w:highlight w:val="none"/>
                    </w:rPr>
                    <w:t>m高</w:t>
                  </w:r>
                  <w:r>
                    <w:rPr>
                      <w:rFonts w:hint="eastAsia"/>
                      <w:color w:val="auto"/>
                      <w:szCs w:val="21"/>
                      <w:highlight w:val="none"/>
                      <w:lang w:eastAsia="zh-CN"/>
                    </w:rPr>
                    <w:t>烟囱</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3.5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65" w:hRule="atLeast"/>
                <w:jc w:val="center"/>
              </w:trPr>
              <w:tc>
                <w:tcPr>
                  <w:tcW w:w="1313" w:type="dxa"/>
                  <w:vMerge w:val="continue"/>
                  <w:noWrap w:val="0"/>
                  <w:vAlign w:val="center"/>
                </w:tcPr>
                <w:p>
                  <w:pPr>
                    <w:overflowPunct w:val="0"/>
                    <w:jc w:val="center"/>
                    <w:rPr>
                      <w:color w:val="auto"/>
                      <w:szCs w:val="21"/>
                      <w:highlight w:val="none"/>
                    </w:rPr>
                  </w:pPr>
                </w:p>
              </w:tc>
              <w:tc>
                <w:tcPr>
                  <w:tcW w:w="5570" w:type="dxa"/>
                  <w:noWrap w:val="0"/>
                  <w:vAlign w:val="center"/>
                </w:tcPr>
                <w:p>
                  <w:pPr>
                    <w:overflowPunct w:val="0"/>
                    <w:jc w:val="center"/>
                    <w:rPr>
                      <w:color w:val="auto"/>
                      <w:szCs w:val="21"/>
                      <w:highlight w:val="none"/>
                    </w:rPr>
                  </w:pPr>
                  <w:r>
                    <w:rPr>
                      <w:rFonts w:hint="eastAsia"/>
                      <w:color w:val="auto"/>
                      <w:highlight w:val="none"/>
                    </w:rPr>
                    <w:t>塔体外围整体自带金属防尘网</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 w:hRule="atLeast"/>
                <w:jc w:val="center"/>
              </w:trPr>
              <w:tc>
                <w:tcPr>
                  <w:tcW w:w="1313" w:type="dxa"/>
                  <w:vMerge w:val="continue"/>
                  <w:noWrap w:val="0"/>
                  <w:vAlign w:val="center"/>
                </w:tcPr>
                <w:p>
                  <w:pPr>
                    <w:overflowPunct w:val="0"/>
                    <w:jc w:val="center"/>
                    <w:rPr>
                      <w:color w:val="auto"/>
                      <w:szCs w:val="21"/>
                      <w:highlight w:val="none"/>
                    </w:rPr>
                  </w:pPr>
                </w:p>
              </w:tc>
              <w:tc>
                <w:tcPr>
                  <w:tcW w:w="5570" w:type="dxa"/>
                  <w:noWrap w:val="0"/>
                  <w:vAlign w:val="center"/>
                </w:tcPr>
                <w:p>
                  <w:pPr>
                    <w:overflowPunct w:val="0"/>
                    <w:jc w:val="center"/>
                    <w:rPr>
                      <w:color w:val="auto"/>
                      <w:szCs w:val="21"/>
                      <w:highlight w:val="none"/>
                    </w:rPr>
                  </w:pPr>
                  <w:r>
                    <w:rPr>
                      <w:rFonts w:hint="eastAsia"/>
                      <w:color w:val="auto"/>
                      <w:szCs w:val="21"/>
                      <w:highlight w:val="none"/>
                    </w:rPr>
                    <w:t>输送机安装防止扬尘挡板</w:t>
                  </w:r>
                </w:p>
              </w:tc>
              <w:tc>
                <w:tcPr>
                  <w:tcW w:w="1621" w:type="dxa"/>
                  <w:noWrap w:val="0"/>
                  <w:vAlign w:val="center"/>
                </w:tcPr>
                <w:p>
                  <w:pPr>
                    <w:overflowPunct w:val="0"/>
                    <w:jc w:val="center"/>
                    <w:rPr>
                      <w:rFonts w:hint="eastAsia" w:eastAsia="宋体"/>
                      <w:color w:val="auto"/>
                      <w:szCs w:val="21"/>
                      <w:highlight w:val="none"/>
                      <w:lang w:eastAsia="zh-CN"/>
                    </w:rPr>
                  </w:pPr>
                  <w:r>
                    <w:rPr>
                      <w:rFonts w:hint="eastAsia"/>
                      <w:color w:val="auto"/>
                      <w:szCs w:val="21"/>
                      <w:highlight w:val="none"/>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 w:hRule="atLeast"/>
                <w:jc w:val="center"/>
              </w:trPr>
              <w:tc>
                <w:tcPr>
                  <w:tcW w:w="1313"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废水</w:t>
                  </w:r>
                </w:p>
              </w:tc>
              <w:tc>
                <w:tcPr>
                  <w:tcW w:w="5570" w:type="dxa"/>
                  <w:noWrap w:val="0"/>
                  <w:vAlign w:val="center"/>
                </w:tcPr>
                <w:p>
                  <w:pPr>
                    <w:overflowPunct w:val="0"/>
                    <w:jc w:val="center"/>
                    <w:rPr>
                      <w:rFonts w:hint="eastAsia" w:eastAsia="宋体"/>
                      <w:color w:val="auto"/>
                      <w:szCs w:val="21"/>
                      <w:highlight w:val="none"/>
                      <w:lang w:val="en-US" w:eastAsia="zh-CN"/>
                    </w:rPr>
                  </w:pPr>
                  <w:r>
                    <w:rPr>
                      <w:rFonts w:hint="eastAsia"/>
                      <w:color w:val="auto"/>
                      <w:szCs w:val="21"/>
                      <w:highlight w:val="none"/>
                      <w:lang w:val="en-US" w:eastAsia="zh-CN"/>
                    </w:rPr>
                    <w:t>初期雨水收集池</w:t>
                  </w:r>
                </w:p>
              </w:tc>
              <w:tc>
                <w:tcPr>
                  <w:tcW w:w="1621" w:type="dxa"/>
                  <w:noWrap w:val="0"/>
                  <w:vAlign w:val="center"/>
                </w:tcPr>
                <w:p>
                  <w:pPr>
                    <w:overflowPunct w:val="0"/>
                    <w:jc w:val="center"/>
                    <w:rPr>
                      <w:rFonts w:hint="default"/>
                      <w:color w:val="auto"/>
                      <w:szCs w:val="21"/>
                      <w:highlight w:val="none"/>
                      <w:lang w:val="en-US" w:eastAsia="zh-CN"/>
                    </w:rPr>
                  </w:pPr>
                  <w:r>
                    <w:rPr>
                      <w:rFonts w:hint="eastAsia"/>
                      <w:color w:val="auto"/>
                      <w:szCs w:val="21"/>
                      <w:highlight w:val="none"/>
                      <w:lang w:val="en-US" w:eastAsia="zh-CN"/>
                    </w:rPr>
                    <w:t>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 w:hRule="atLeast"/>
                <w:jc w:val="center"/>
              </w:trPr>
              <w:tc>
                <w:tcPr>
                  <w:tcW w:w="1313" w:type="dxa"/>
                  <w:noWrap w:val="0"/>
                  <w:vAlign w:val="center"/>
                </w:tcPr>
                <w:p>
                  <w:pPr>
                    <w:overflowPunct w:val="0"/>
                    <w:jc w:val="center"/>
                    <w:rPr>
                      <w:color w:val="auto"/>
                      <w:szCs w:val="21"/>
                      <w:highlight w:val="none"/>
                    </w:rPr>
                  </w:pPr>
                  <w:r>
                    <w:rPr>
                      <w:color w:val="auto"/>
                      <w:szCs w:val="21"/>
                      <w:highlight w:val="none"/>
                    </w:rPr>
                    <w:t>固废</w:t>
                  </w:r>
                </w:p>
              </w:tc>
              <w:tc>
                <w:tcPr>
                  <w:tcW w:w="5570" w:type="dxa"/>
                  <w:noWrap w:val="0"/>
                  <w:vAlign w:val="center"/>
                </w:tcPr>
                <w:p>
                  <w:pPr>
                    <w:overflowPunct w:val="0"/>
                    <w:jc w:val="center"/>
                    <w:rPr>
                      <w:rFonts w:hint="eastAsia" w:eastAsia="宋体"/>
                      <w:color w:val="auto"/>
                      <w:szCs w:val="21"/>
                      <w:highlight w:val="none"/>
                      <w:lang w:eastAsia="zh-CN"/>
                    </w:rPr>
                  </w:pPr>
                  <w:r>
                    <w:rPr>
                      <w:rFonts w:hint="eastAsia"/>
                      <w:color w:val="auto"/>
                      <w:szCs w:val="21"/>
                      <w:highlight w:val="none"/>
                    </w:rPr>
                    <w:t>垃圾箱</w:t>
                  </w:r>
                  <w:r>
                    <w:rPr>
                      <w:rFonts w:hint="eastAsia"/>
                      <w:color w:val="auto"/>
                      <w:highlight w:val="none"/>
                      <w:lang w:eastAsia="zh-CN"/>
                    </w:rPr>
                    <w:t>、灰渣间</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16" w:hRule="atLeast"/>
                <w:jc w:val="center"/>
              </w:trPr>
              <w:tc>
                <w:tcPr>
                  <w:tcW w:w="1313" w:type="dxa"/>
                  <w:noWrap w:val="0"/>
                  <w:vAlign w:val="center"/>
                </w:tcPr>
                <w:p>
                  <w:pPr>
                    <w:overflowPunct w:val="0"/>
                    <w:jc w:val="center"/>
                    <w:rPr>
                      <w:color w:val="auto"/>
                      <w:szCs w:val="21"/>
                      <w:highlight w:val="none"/>
                    </w:rPr>
                  </w:pPr>
                  <w:r>
                    <w:rPr>
                      <w:color w:val="auto"/>
                      <w:szCs w:val="21"/>
                      <w:highlight w:val="none"/>
                    </w:rPr>
                    <w:t>噪声</w:t>
                  </w:r>
                </w:p>
              </w:tc>
              <w:tc>
                <w:tcPr>
                  <w:tcW w:w="5570" w:type="dxa"/>
                  <w:noWrap w:val="0"/>
                  <w:vAlign w:val="center"/>
                </w:tcPr>
                <w:p>
                  <w:pPr>
                    <w:overflowPunct w:val="0"/>
                    <w:jc w:val="center"/>
                    <w:rPr>
                      <w:color w:val="auto"/>
                      <w:szCs w:val="21"/>
                      <w:highlight w:val="none"/>
                    </w:rPr>
                  </w:pPr>
                  <w:r>
                    <w:rPr>
                      <w:rFonts w:hint="eastAsia" w:cs="宋体"/>
                      <w:color w:val="auto"/>
                      <w:szCs w:val="21"/>
                      <w:highlight w:val="none"/>
                    </w:rPr>
                    <w:t>减振装置、隔声措施</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16" w:hRule="atLeast"/>
                <w:jc w:val="center"/>
              </w:trPr>
              <w:tc>
                <w:tcPr>
                  <w:tcW w:w="1313" w:type="dxa"/>
                  <w:noWrap w:val="0"/>
                  <w:vAlign w:val="center"/>
                </w:tcPr>
                <w:p>
                  <w:pPr>
                    <w:overflowPunct w:val="0"/>
                    <w:jc w:val="center"/>
                    <w:rPr>
                      <w:b/>
                      <w:bCs/>
                      <w:color w:val="auto"/>
                      <w:szCs w:val="21"/>
                      <w:highlight w:val="none"/>
                    </w:rPr>
                  </w:pPr>
                  <w:r>
                    <w:rPr>
                      <w:rFonts w:hint="default" w:ascii="Times New Roman" w:hAnsi="Times New Roman" w:cs="Times New Roman"/>
                      <w:color w:val="auto"/>
                      <w:sz w:val="21"/>
                      <w:szCs w:val="21"/>
                      <w:highlight w:val="none"/>
                    </w:rPr>
                    <w:t>运行维护费</w:t>
                  </w:r>
                </w:p>
              </w:tc>
              <w:tc>
                <w:tcPr>
                  <w:tcW w:w="5570" w:type="dxa"/>
                  <w:noWrap w:val="0"/>
                  <w:vAlign w:val="center"/>
                </w:tcPr>
                <w:p>
                  <w:pPr>
                    <w:overflowPunct w:val="0"/>
                    <w:jc w:val="center"/>
                    <w:rPr>
                      <w:rFonts w:hint="default" w:eastAsia="宋体" w:cs="宋体"/>
                      <w:color w:val="auto"/>
                      <w:szCs w:val="21"/>
                      <w:highlight w:val="none"/>
                      <w:lang w:val="en-US" w:eastAsia="zh-CN"/>
                    </w:rPr>
                  </w:pPr>
                  <w:r>
                    <w:rPr>
                      <w:rFonts w:hint="eastAsia" w:cs="宋体"/>
                      <w:color w:val="auto"/>
                      <w:szCs w:val="21"/>
                      <w:highlight w:val="none"/>
                      <w:lang w:val="en-US" w:eastAsia="zh-CN"/>
                    </w:rPr>
                    <w:t>/</w:t>
                  </w:r>
                </w:p>
              </w:tc>
              <w:tc>
                <w:tcPr>
                  <w:tcW w:w="1621" w:type="dxa"/>
                  <w:noWrap w:val="0"/>
                  <w:vAlign w:val="center"/>
                </w:tcPr>
                <w:p>
                  <w:pPr>
                    <w:overflowPunct w:val="0"/>
                    <w:jc w:val="center"/>
                    <w:rPr>
                      <w:rFonts w:hint="default"/>
                      <w:color w:val="auto"/>
                      <w:szCs w:val="21"/>
                      <w:highlight w:val="none"/>
                      <w:lang w:val="en-US" w:eastAsia="zh-CN"/>
                    </w:rPr>
                  </w:pPr>
                  <w:r>
                    <w:rPr>
                      <w:rFonts w:hint="eastAsia"/>
                      <w:color w:val="auto"/>
                      <w:szCs w:val="21"/>
                      <w:highlight w:val="none"/>
                      <w:lang w:val="en-US" w:eastAsia="zh-CN"/>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39" w:hRule="atLeast"/>
                <w:jc w:val="center"/>
              </w:trPr>
              <w:tc>
                <w:tcPr>
                  <w:tcW w:w="6883" w:type="dxa"/>
                  <w:gridSpan w:val="2"/>
                  <w:noWrap w:val="0"/>
                  <w:vAlign w:val="center"/>
                </w:tcPr>
                <w:p>
                  <w:pPr>
                    <w:overflowPunct w:val="0"/>
                    <w:ind w:firstLine="420" w:firstLineChars="200"/>
                    <w:jc w:val="center"/>
                    <w:rPr>
                      <w:color w:val="auto"/>
                      <w:szCs w:val="21"/>
                      <w:highlight w:val="none"/>
                    </w:rPr>
                  </w:pPr>
                  <w:r>
                    <w:rPr>
                      <w:color w:val="auto"/>
                      <w:szCs w:val="21"/>
                      <w:highlight w:val="none"/>
                    </w:rPr>
                    <w:t>合计</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10</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color w:val="auto"/>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jc w:val="center"/>
        </w:trPr>
        <w:tc>
          <w:tcPr>
            <w:tcW w:w="456" w:type="dxa"/>
            <w:noWrap w:val="0"/>
            <w:vAlign w:val="center"/>
          </w:tcPr>
          <w:p>
            <w:pPr>
              <w:pStyle w:val="25"/>
              <w:adjustRightInd w:val="0"/>
              <w:snapToGrid w:val="0"/>
              <w:spacing w:before="0" w:beforeAutospacing="0" w:after="0" w:afterAutospacing="0"/>
              <w:jc w:val="center"/>
              <w:rPr>
                <w:rFonts w:hint="default" w:ascii="Times New Roman" w:hAnsi="Times New Roman" w:cs="Times New Roman"/>
                <w:color w:val="auto"/>
                <w:sz w:val="21"/>
                <w:szCs w:val="21"/>
              </w:rPr>
            </w:pPr>
            <w:r>
              <w:rPr>
                <w:rFonts w:hint="default" w:ascii="Times New Roman" w:hAnsi="Times New Roman" w:cs="Times New Roman"/>
                <w:color w:val="auto"/>
                <w:sz w:val="24"/>
                <w:szCs w:val="24"/>
              </w:rPr>
              <w:t>工艺流程和产排污环节</w:t>
            </w:r>
          </w:p>
        </w:tc>
        <w:tc>
          <w:tcPr>
            <w:tcW w:w="9601" w:type="dxa"/>
            <w:noWrap w:val="0"/>
            <w:vAlign w:val="top"/>
          </w:tcPr>
          <w:p>
            <w:pPr>
              <w:pStyle w:val="110"/>
              <w:spacing w:line="500" w:lineRule="exact"/>
              <w:ind w:firstLine="480"/>
              <w:rPr>
                <w:rFonts w:cs="Times New Roman"/>
                <w:b/>
                <w:bCs/>
                <w:color w:val="auto"/>
                <w:sz w:val="24"/>
                <w:szCs w:val="24"/>
              </w:rPr>
            </w:pPr>
            <w:r>
              <w:rPr>
                <w:rFonts w:cs="Times New Roman"/>
                <w:b/>
                <w:bCs/>
                <w:color w:val="auto"/>
                <w:sz w:val="24"/>
                <w:szCs w:val="24"/>
              </w:rPr>
              <w:t>一、施工期</w:t>
            </w:r>
          </w:p>
          <w:p>
            <w:pPr>
              <w:pStyle w:val="110"/>
              <w:spacing w:line="500" w:lineRule="exact"/>
              <w:ind w:firstLine="480"/>
              <w:rPr>
                <w:rFonts w:cs="Times New Roman"/>
                <w:color w:val="auto"/>
                <w:sz w:val="24"/>
                <w:szCs w:val="24"/>
              </w:rPr>
            </w:pPr>
            <w:r>
              <w:rPr>
                <w:rFonts w:cs="Times New Roman"/>
                <w:color w:val="auto"/>
                <w:sz w:val="24"/>
                <w:szCs w:val="24"/>
              </w:rPr>
              <w:t>（1）基础工程施工</w:t>
            </w:r>
          </w:p>
          <w:p>
            <w:pPr>
              <w:pStyle w:val="110"/>
              <w:spacing w:line="500" w:lineRule="exact"/>
              <w:ind w:firstLine="480"/>
              <w:rPr>
                <w:rFonts w:cs="Times New Roman"/>
                <w:color w:val="auto"/>
                <w:sz w:val="24"/>
                <w:szCs w:val="24"/>
              </w:rPr>
            </w:pPr>
            <w:r>
              <w:rPr>
                <w:rFonts w:cs="Times New Roman"/>
                <w:color w:val="auto"/>
                <w:sz w:val="24"/>
                <w:szCs w:val="24"/>
              </w:rPr>
              <w:t>基础工程施工过程中以人工施工为主，配备部分机械施工相结合的方式，在进行场地处理和地基处理施工过程中会产生扬尘、噪声。</w:t>
            </w:r>
          </w:p>
          <w:p>
            <w:pPr>
              <w:pStyle w:val="110"/>
              <w:spacing w:line="500" w:lineRule="exact"/>
              <w:ind w:firstLine="480"/>
              <w:rPr>
                <w:rFonts w:cs="Times New Roman"/>
                <w:color w:val="auto"/>
                <w:sz w:val="24"/>
                <w:szCs w:val="24"/>
              </w:rPr>
            </w:pPr>
            <w:r>
              <w:rPr>
                <w:rFonts w:cs="Times New Roman"/>
                <w:color w:val="auto"/>
                <w:sz w:val="24"/>
                <w:szCs w:val="24"/>
              </w:rPr>
              <w:t>（2）主体建筑施工</w:t>
            </w:r>
          </w:p>
          <w:p>
            <w:pPr>
              <w:pStyle w:val="110"/>
              <w:spacing w:line="500" w:lineRule="exact"/>
              <w:ind w:firstLine="480"/>
              <w:rPr>
                <w:rFonts w:cs="Times New Roman"/>
                <w:color w:val="auto"/>
                <w:sz w:val="24"/>
                <w:szCs w:val="24"/>
              </w:rPr>
            </w:pPr>
            <w:r>
              <w:rPr>
                <w:rFonts w:cs="Times New Roman"/>
                <w:color w:val="auto"/>
                <w:sz w:val="24"/>
                <w:szCs w:val="24"/>
              </w:rPr>
              <w:t>施工过程采用人工施工为主，配有少量的机械施工相结合的方式。噪声影响较小，施工方式合理。钢架结构在厂家内部焊接，运进项目区后做简单的吊装，将钢架跨梁焊接在钢管立柱上，彩钢瓦用钢钉固定在跨梁上。项目主体建筑施工过程中会产生扬尘、噪声和边角材料。</w:t>
            </w:r>
          </w:p>
          <w:p>
            <w:pPr>
              <w:pStyle w:val="110"/>
              <w:spacing w:line="500" w:lineRule="exact"/>
              <w:ind w:firstLine="480"/>
              <w:rPr>
                <w:rFonts w:cs="Times New Roman"/>
                <w:color w:val="auto"/>
                <w:sz w:val="24"/>
                <w:szCs w:val="24"/>
              </w:rPr>
            </w:pPr>
            <w:r>
              <w:rPr>
                <w:rFonts w:cs="Times New Roman"/>
                <w:color w:val="auto"/>
                <w:sz w:val="24"/>
                <w:szCs w:val="24"/>
              </w:rPr>
              <w:t>（3）装修、设备安装</w:t>
            </w:r>
          </w:p>
          <w:p>
            <w:pPr>
              <w:pStyle w:val="110"/>
              <w:spacing w:line="500" w:lineRule="exact"/>
              <w:ind w:firstLine="480"/>
              <w:rPr>
                <w:rFonts w:cs="Times New Roman"/>
                <w:color w:val="auto"/>
                <w:sz w:val="24"/>
                <w:szCs w:val="24"/>
              </w:rPr>
            </w:pPr>
            <w:r>
              <w:rPr>
                <w:rFonts w:cs="Times New Roman"/>
                <w:color w:val="auto"/>
                <w:sz w:val="24"/>
                <w:szCs w:val="24"/>
              </w:rPr>
              <w:t>基础工程和主体建筑施工完毕后，进行装修及设备安装，此过程会产生噪声及粉尘，完毕后随即消失。</w:t>
            </w:r>
          </w:p>
          <w:p>
            <w:pPr>
              <w:pStyle w:val="110"/>
              <w:spacing w:line="500" w:lineRule="exact"/>
              <w:ind w:firstLine="480"/>
              <w:rPr>
                <w:rFonts w:cs="Times New Roman"/>
                <w:color w:val="auto"/>
                <w:sz w:val="24"/>
                <w:szCs w:val="24"/>
              </w:rPr>
            </w:pPr>
            <w:r>
              <w:rPr>
                <w:rFonts w:cs="Times New Roman"/>
                <w:color w:val="auto"/>
                <w:sz w:val="24"/>
                <w:szCs w:val="24"/>
              </w:rPr>
              <w:t>本项目施工期工艺流程及产排污节点见下图。</w:t>
            </w:r>
          </w:p>
          <w:p>
            <w:pPr>
              <w:pStyle w:val="110"/>
              <w:spacing w:line="500" w:lineRule="exact"/>
              <w:ind w:firstLine="480"/>
              <w:jc w:val="center"/>
              <w:rPr>
                <w:rFonts w:ascii="Times New Roman" w:hAnsi="Times New Roman" w:eastAsia="宋体" w:cs="Times New Roman"/>
                <w:b/>
                <w:bCs/>
                <w:color w:val="auto"/>
                <w:kern w:val="2"/>
                <w:sz w:val="24"/>
                <w:szCs w:val="24"/>
                <w:lang w:val="en-US" w:eastAsia="zh-CN" w:bidi="ar-SA"/>
              </w:rPr>
            </w:pPr>
            <w:r>
              <w:rPr>
                <w:color w:val="auto"/>
              </w:rPr>
              <w:drawing>
                <wp:anchor distT="0" distB="0" distL="114300" distR="114300" simplePos="0" relativeHeight="251667456" behindDoc="0" locked="0" layoutInCell="1" allowOverlap="1">
                  <wp:simplePos x="0" y="0"/>
                  <wp:positionH relativeFrom="column">
                    <wp:posOffset>225425</wp:posOffset>
                  </wp:positionH>
                  <wp:positionV relativeFrom="paragraph">
                    <wp:posOffset>59690</wp:posOffset>
                  </wp:positionV>
                  <wp:extent cx="4333875" cy="1181100"/>
                  <wp:effectExtent l="0" t="0" r="9525" b="0"/>
                  <wp:wrapTopAndBottom/>
                  <wp:docPr id="4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3"/>
                          <pic:cNvPicPr>
                            <a:picLocks noChangeAspect="1"/>
                          </pic:cNvPicPr>
                        </pic:nvPicPr>
                        <pic:blipFill>
                          <a:blip r:embed="rId16"/>
                          <a:stretch>
                            <a:fillRect/>
                          </a:stretch>
                        </pic:blipFill>
                        <pic:spPr>
                          <a:xfrm>
                            <a:off x="0" y="0"/>
                            <a:ext cx="4333875" cy="1181100"/>
                          </a:xfrm>
                          <a:prstGeom prst="rect">
                            <a:avLst/>
                          </a:prstGeom>
                          <a:noFill/>
                          <a:ln>
                            <a:noFill/>
                          </a:ln>
                        </pic:spPr>
                      </pic:pic>
                    </a:graphicData>
                  </a:graphic>
                </wp:anchor>
              </w:drawing>
            </w:r>
            <w:r>
              <w:rPr>
                <w:rFonts w:ascii="Times New Roman" w:hAnsi="Times New Roman" w:eastAsia="宋体" w:cs="Times New Roman"/>
                <w:b/>
                <w:bCs/>
                <w:color w:val="auto"/>
                <w:kern w:val="2"/>
                <w:sz w:val="24"/>
                <w:szCs w:val="24"/>
                <w:lang w:val="en-US" w:eastAsia="zh-CN" w:bidi="ar-SA"/>
              </w:rPr>
              <w:t>图2-</w:t>
            </w:r>
            <w:r>
              <w:rPr>
                <w:rFonts w:hint="eastAsia" w:ascii="Times New Roman" w:hAnsi="Times New Roman" w:eastAsia="宋体" w:cs="Times New Roman"/>
                <w:b/>
                <w:bCs/>
                <w:color w:val="auto"/>
                <w:kern w:val="2"/>
                <w:sz w:val="24"/>
                <w:szCs w:val="24"/>
                <w:lang w:val="en-US" w:eastAsia="zh-CN" w:bidi="ar-SA"/>
              </w:rPr>
              <w:t>3</w:t>
            </w:r>
            <w:r>
              <w:rPr>
                <w:rFonts w:ascii="Times New Roman" w:hAnsi="Times New Roman" w:eastAsia="宋体" w:cs="Times New Roman"/>
                <w:b/>
                <w:bCs/>
                <w:color w:val="auto"/>
                <w:kern w:val="2"/>
                <w:sz w:val="24"/>
                <w:szCs w:val="24"/>
                <w:lang w:val="en-US" w:eastAsia="zh-CN" w:bidi="ar-SA"/>
              </w:rPr>
              <w:t>施工期工艺流程及产污节点图</w:t>
            </w:r>
          </w:p>
          <w:p>
            <w:pPr>
              <w:pStyle w:val="110"/>
              <w:spacing w:line="500" w:lineRule="exact"/>
              <w:ind w:firstLine="482" w:firstLineChars="200"/>
              <w:jc w:val="both"/>
              <w:rPr>
                <w:rFonts w:hint="default"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二、运营期</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456555" cy="4153535"/>
                  <wp:effectExtent l="0" t="0" r="10795" b="18415"/>
                  <wp:docPr id="17"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descr="IMG_256"/>
                          <pic:cNvPicPr>
                            <a:picLocks noChangeAspect="1"/>
                          </pic:cNvPicPr>
                        </pic:nvPicPr>
                        <pic:blipFill>
                          <a:blip r:embed="rId17"/>
                          <a:stretch>
                            <a:fillRect/>
                          </a:stretch>
                        </pic:blipFill>
                        <pic:spPr>
                          <a:xfrm>
                            <a:off x="0" y="0"/>
                            <a:ext cx="5456555" cy="4153535"/>
                          </a:xfrm>
                          <a:prstGeom prst="rect">
                            <a:avLst/>
                          </a:prstGeom>
                          <a:noFill/>
                          <a:ln w="9525">
                            <a:noFill/>
                          </a:ln>
                        </pic:spPr>
                      </pic:pic>
                    </a:graphicData>
                  </a:graphic>
                </wp:inline>
              </w:drawing>
            </w:r>
          </w:p>
          <w:p>
            <w:pPr>
              <w:keepNext w:val="0"/>
              <w:keepLines w:val="0"/>
              <w:widowControl/>
              <w:suppressLineNumbers w:val="0"/>
              <w:jc w:val="left"/>
            </w:pPr>
          </w:p>
          <w:p>
            <w:pPr>
              <w:pStyle w:val="80"/>
              <w:adjustRightInd/>
              <w:snapToGrid/>
              <w:jc w:val="center"/>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图2-</w:t>
            </w:r>
            <w:r>
              <w:rPr>
                <w:rFonts w:hint="eastAsia"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lang w:val="en-US" w:eastAsia="zh-CN"/>
              </w:rPr>
              <w:t xml:space="preserve"> 本项目工艺流程及产污环节图</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本项目生产工艺流程简述如下：</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（1）粮食装卸及筛分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进厂潮粮在</w:t>
            </w:r>
            <w:r>
              <w:rPr>
                <w:rFonts w:hint="eastAsia" w:cs="Times New Roman"/>
                <w:color w:val="auto"/>
                <w:kern w:val="0"/>
                <w:sz w:val="24"/>
                <w:szCs w:val="24"/>
                <w:highlight w:val="none"/>
                <w:lang w:val="en-US" w:eastAsia="zh-CN"/>
              </w:rPr>
              <w:t>晒场</w:t>
            </w:r>
            <w:r>
              <w:rPr>
                <w:rFonts w:hint="default" w:ascii="Times New Roman" w:hAnsi="Times New Roman" w:cs="Times New Roman"/>
                <w:color w:val="auto"/>
                <w:kern w:val="0"/>
                <w:sz w:val="24"/>
                <w:szCs w:val="24"/>
                <w:highlight w:val="none"/>
                <w:lang w:val="en-US" w:eastAsia="zh-CN"/>
              </w:rPr>
              <w:t>内卸料后，入烘干塔烘干前，先经清理筛分机去除杂质</w:t>
            </w:r>
            <w:r>
              <w:rPr>
                <w:rFonts w:hint="eastAsia" w:cs="Times New Roman"/>
                <w:color w:val="auto"/>
                <w:kern w:val="0"/>
                <w:sz w:val="24"/>
                <w:szCs w:val="24"/>
                <w:highlight w:val="none"/>
                <w:lang w:val="en-US" w:eastAsia="zh-CN"/>
              </w:rPr>
              <w:t>，将</w:t>
            </w:r>
            <w:r>
              <w:rPr>
                <w:rFonts w:hint="default" w:ascii="Times New Roman" w:hAnsi="Times New Roman" w:cs="Times New Roman"/>
                <w:color w:val="auto"/>
                <w:kern w:val="0"/>
                <w:sz w:val="24"/>
                <w:szCs w:val="24"/>
                <w:highlight w:val="none"/>
                <w:lang w:val="en-US" w:eastAsia="zh-CN"/>
              </w:rPr>
              <w:t>筛分出的石子等杂质集中收集，定期由市政</w:t>
            </w:r>
            <w:r>
              <w:rPr>
                <w:rFonts w:hint="default" w:ascii="Times New Roman" w:hAnsi="Times New Roman" w:cs="Times New Roman"/>
                <w:color w:val="auto"/>
                <w:sz w:val="24"/>
                <w:szCs w:val="24"/>
                <w:lang w:val="en-US" w:eastAsia="zh-CN"/>
              </w:rPr>
              <w:t>环卫</w:t>
            </w:r>
            <w:r>
              <w:rPr>
                <w:rFonts w:hint="default" w:ascii="Times New Roman" w:hAnsi="Times New Roman" w:cs="Times New Roman"/>
                <w:color w:val="auto"/>
                <w:kern w:val="0"/>
                <w:sz w:val="24"/>
                <w:szCs w:val="24"/>
                <w:highlight w:val="none"/>
                <w:lang w:val="en-US" w:eastAsia="zh-CN"/>
              </w:rPr>
              <w:t>部门清理处置。烘干后的干粮</w:t>
            </w:r>
            <w:r>
              <w:rPr>
                <w:rFonts w:hint="eastAsia" w:cs="Times New Roman"/>
                <w:color w:val="auto"/>
                <w:kern w:val="0"/>
                <w:sz w:val="24"/>
                <w:szCs w:val="24"/>
                <w:highlight w:val="none"/>
                <w:lang w:val="en-US" w:eastAsia="zh-CN"/>
              </w:rPr>
              <w:t>经检验后，</w:t>
            </w:r>
            <w:r>
              <w:rPr>
                <w:rFonts w:hint="default" w:ascii="Times New Roman" w:hAnsi="Times New Roman" w:cs="Times New Roman"/>
                <w:color w:val="auto"/>
                <w:kern w:val="0"/>
                <w:sz w:val="24"/>
                <w:szCs w:val="24"/>
                <w:highlight w:val="none"/>
                <w:lang w:val="en-US" w:eastAsia="zh-CN"/>
              </w:rPr>
              <w:t>入库储存，待后续加工单位进库装车运输。</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（2）热气输送至烘干塔流程</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冷空气由鼓风机送至热风炉内，热风炉燃生物质成型燃料产生高温烟气，高温烟气通入换热器。另有冷空气进入换热器，经换热器与高温烟气进行热交换后，变为热空气，经风机送至烘干塔内烘干粮食，烘干后的热空气由塔体两侧排气孔排放，交换后的热风炉</w:t>
            </w:r>
            <w:r>
              <w:rPr>
                <w:rFonts w:hint="eastAsia" w:cs="Times New Roman"/>
                <w:color w:val="auto"/>
                <w:sz w:val="24"/>
                <w:szCs w:val="24"/>
                <w:highlight w:val="none"/>
                <w:lang w:val="en-US" w:eastAsia="zh-CN"/>
              </w:rPr>
              <w:t>采用低氮燃烧技术，</w:t>
            </w:r>
            <w:r>
              <w:rPr>
                <w:rFonts w:hint="eastAsia" w:cs="Times New Roman"/>
                <w:color w:val="auto"/>
                <w:kern w:val="0"/>
                <w:sz w:val="24"/>
                <w:szCs w:val="24"/>
                <w:highlight w:val="none"/>
                <w:lang w:val="en-US" w:eastAsia="zh-CN"/>
              </w:rPr>
              <w:t>烟气</w:t>
            </w:r>
            <w:r>
              <w:rPr>
                <w:rFonts w:hint="default" w:ascii="Times New Roman" w:hAnsi="Times New Roman" w:cs="Times New Roman"/>
                <w:color w:val="auto"/>
                <w:kern w:val="0"/>
                <w:sz w:val="24"/>
                <w:szCs w:val="24"/>
                <w:highlight w:val="none"/>
                <w:lang w:val="en-US" w:eastAsia="zh-CN"/>
              </w:rPr>
              <w:t>经布袋除尘器处理达标后由烟囱排放。</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（3）烘干塔内工艺流程</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在烘干塔内，由于粮食自重，自上而下流动，热风由塔底进入，朝上方向穿过粮层，热风在穿过粮层时，与粮粒间进行湿热传递，热风将热量</w:t>
            </w:r>
            <w:r>
              <w:rPr>
                <w:rFonts w:hint="eastAsia" w:cs="Times New Roman"/>
                <w:color w:val="auto"/>
                <w:kern w:val="0"/>
                <w:sz w:val="24"/>
                <w:szCs w:val="24"/>
                <w:highlight w:val="none"/>
                <w:lang w:val="en-US" w:eastAsia="zh-CN"/>
              </w:rPr>
              <w:t>传给</w:t>
            </w:r>
            <w:r>
              <w:rPr>
                <w:rFonts w:hint="default" w:ascii="Times New Roman" w:hAnsi="Times New Roman" w:cs="Times New Roman"/>
                <w:color w:val="auto"/>
                <w:kern w:val="0"/>
                <w:sz w:val="24"/>
                <w:szCs w:val="24"/>
                <w:highlight w:val="none"/>
                <w:lang w:val="en-US" w:eastAsia="zh-CN"/>
              </w:rPr>
              <w:t>粮粒，与粮食接触温度最高不超过60℃，粮粒受热升温，水分蒸发到空气中，热风携带着水汽及少量颗粒物变成废气经塔体两侧排气孔排放。在这个过程中，粮食温度升得越高，水分就蒸发得越快。为保证粮食的品质，即加工性和食用性，烘干塔内粮食升温幅度和干燥时长是受到严格控制的，其原则是既要降低粮食的水分，又不能损害粮食的品质。在烘干塔内没有布置通风角状管的部位为缓苏段，烘干的热粮向下流动到缓苏段，缓苏段内不通热风，其主要作用是减缓在干燥过程中粮粒内形成的应力，促进谷粒内部水分逐渐向外移动，使粮粒表面和内部的水分趋于平衡。缓苏工艺实施既有利于下一阶段的干燥，又能确保烘后粮的品质。</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本项目运营期污染工序及污染因子见下表：</w:t>
            </w:r>
          </w:p>
          <w:p>
            <w:pPr>
              <w:pStyle w:val="80"/>
              <w:adjustRightInd/>
              <w:snapToGrid/>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2</w:t>
            </w:r>
            <w:r>
              <w:rPr>
                <w:rFonts w:hint="eastAsia" w:cs="Times New Roman"/>
                <w:b/>
                <w:bCs/>
                <w:color w:val="auto"/>
                <w:sz w:val="21"/>
                <w:szCs w:val="21"/>
                <w:highlight w:val="none"/>
                <w:lang w:val="en-US" w:eastAsia="zh-CN"/>
              </w:rPr>
              <w:t>-6</w:t>
            </w:r>
            <w:r>
              <w:rPr>
                <w:rFonts w:hint="default" w:ascii="Times New Roman" w:hAnsi="Times New Roman" w:cs="Times New Roman"/>
                <w:b/>
                <w:bCs/>
                <w:color w:val="auto"/>
                <w:sz w:val="21"/>
                <w:szCs w:val="21"/>
                <w:highlight w:val="none"/>
                <w:lang w:val="en-US" w:eastAsia="zh-CN"/>
              </w:rPr>
              <w:t xml:space="preserve"> 项目产污环节汇总</w:t>
            </w:r>
            <w:r>
              <w:rPr>
                <w:rFonts w:hint="default" w:ascii="Times New Roman" w:hAnsi="Times New Roman" w:cs="Times New Roman"/>
                <w:b/>
                <w:bCs/>
                <w:color w:val="auto"/>
                <w:sz w:val="21"/>
                <w:szCs w:val="21"/>
                <w:highlight w:val="none"/>
              </w:rPr>
              <w:t>表</w:t>
            </w:r>
          </w:p>
          <w:tbl>
            <w:tblPr>
              <w:tblStyle w:val="30"/>
              <w:tblW w:w="9381"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6"/>
              <w:gridCol w:w="1875"/>
              <w:gridCol w:w="3533"/>
              <w:gridCol w:w="297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996" w:type="dxa"/>
                  <w:noWrap w:val="0"/>
                  <w:vAlign w:val="center"/>
                </w:tcPr>
                <w:p>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1875"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污染物类型</w:t>
                  </w:r>
                </w:p>
              </w:tc>
              <w:tc>
                <w:tcPr>
                  <w:tcW w:w="3533"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产污环节</w:t>
                  </w:r>
                </w:p>
              </w:tc>
              <w:tc>
                <w:tcPr>
                  <w:tcW w:w="2977"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污染因子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61" w:hRule="atLeast"/>
                <w:jc w:val="center"/>
              </w:trPr>
              <w:tc>
                <w:tcPr>
                  <w:tcW w:w="996" w:type="dxa"/>
                  <w:vMerge w:val="restart"/>
                  <w:noWrap w:val="0"/>
                  <w:vAlign w:val="center"/>
                </w:tcPr>
                <w:p>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875" w:type="dxa"/>
                  <w:vMerge w:val="restart"/>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废气</w:t>
                  </w:r>
                </w:p>
              </w:tc>
              <w:tc>
                <w:tcPr>
                  <w:tcW w:w="3533"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装卸、筛分、输送、烘干塔废气等</w:t>
                  </w:r>
                </w:p>
              </w:tc>
              <w:tc>
                <w:tcPr>
                  <w:tcW w:w="2977"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颗粒物</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89" w:hRule="atLeast"/>
                <w:jc w:val="center"/>
              </w:trPr>
              <w:tc>
                <w:tcPr>
                  <w:tcW w:w="996" w:type="dxa"/>
                  <w:vMerge w:val="continue"/>
                  <w:noWrap w:val="0"/>
                  <w:vAlign w:val="center"/>
                </w:tcPr>
                <w:p>
                  <w:pPr>
                    <w:adjustRightInd w:val="0"/>
                    <w:snapToGrid w:val="0"/>
                    <w:jc w:val="center"/>
                    <w:rPr>
                      <w:rFonts w:hint="default" w:ascii="Times New Roman" w:hAnsi="Times New Roman" w:cs="Times New Roman"/>
                      <w:color w:val="auto"/>
                      <w:szCs w:val="21"/>
                      <w:highlight w:val="none"/>
                    </w:rPr>
                  </w:pPr>
                </w:p>
              </w:tc>
              <w:tc>
                <w:tcPr>
                  <w:tcW w:w="1875"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533"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热风炉烟气</w:t>
                  </w:r>
                </w:p>
              </w:tc>
              <w:tc>
                <w:tcPr>
                  <w:tcW w:w="2977"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颗粒物、二氧化硫、氮氧化物、烟气黑度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jc w:val="center"/>
              </w:trPr>
              <w:tc>
                <w:tcPr>
                  <w:tcW w:w="996" w:type="dxa"/>
                  <w:vMerge w:val="restart"/>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w:t>
                  </w:r>
                </w:p>
              </w:tc>
              <w:tc>
                <w:tcPr>
                  <w:tcW w:w="1875" w:type="dxa"/>
                  <w:vMerge w:val="restart"/>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废水</w:t>
                  </w:r>
                </w:p>
              </w:tc>
              <w:tc>
                <w:tcPr>
                  <w:tcW w:w="3533"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员工生活</w:t>
                  </w:r>
                </w:p>
              </w:tc>
              <w:tc>
                <w:tcPr>
                  <w:tcW w:w="2977"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COD、BOD</w:t>
                  </w:r>
                  <w:r>
                    <w:rPr>
                      <w:rFonts w:hint="default" w:ascii="Times New Roman" w:hAnsi="Times New Roman" w:cs="Times New Roman"/>
                      <w:color w:val="auto"/>
                      <w:szCs w:val="21"/>
                      <w:highlight w:val="none"/>
                      <w:vertAlign w:val="subscript"/>
                      <w:lang w:val="en-US" w:eastAsia="zh-CN"/>
                    </w:rPr>
                    <w:t>5</w:t>
                  </w:r>
                  <w:r>
                    <w:rPr>
                      <w:rFonts w:hint="default" w:ascii="Times New Roman" w:hAnsi="Times New Roman" w:cs="Times New Roman"/>
                      <w:color w:val="auto"/>
                      <w:szCs w:val="21"/>
                      <w:highlight w:val="none"/>
                      <w:lang w:val="en-US" w:eastAsia="zh-CN"/>
                    </w:rPr>
                    <w:t>、SS、氨氮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jc w:val="center"/>
              </w:trPr>
              <w:tc>
                <w:tcPr>
                  <w:tcW w:w="996"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1875"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533"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初期雨水</w:t>
                  </w:r>
                </w:p>
              </w:tc>
              <w:tc>
                <w:tcPr>
                  <w:tcW w:w="2977"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SS</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996" w:type="dxa"/>
                  <w:noWrap w:val="0"/>
                  <w:vAlign w:val="center"/>
                </w:tcPr>
                <w:p>
                  <w:pPr>
                    <w:adjustRightInd w:val="0"/>
                    <w:snapToGrid w:val="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3</w:t>
                  </w:r>
                </w:p>
              </w:tc>
              <w:tc>
                <w:tcPr>
                  <w:tcW w:w="1875"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噪声</w:t>
                  </w:r>
                </w:p>
              </w:tc>
              <w:tc>
                <w:tcPr>
                  <w:tcW w:w="3533"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清粮筛分机、输送机、风机、烘干塔等设备</w:t>
                  </w:r>
                </w:p>
              </w:tc>
              <w:tc>
                <w:tcPr>
                  <w:tcW w:w="2977"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机械噪声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73" w:hRule="atLeast"/>
                <w:jc w:val="center"/>
              </w:trPr>
              <w:tc>
                <w:tcPr>
                  <w:tcW w:w="996" w:type="dxa"/>
                  <w:vMerge w:val="restart"/>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w:t>
                  </w:r>
                </w:p>
              </w:tc>
              <w:tc>
                <w:tcPr>
                  <w:tcW w:w="1875" w:type="dxa"/>
                  <w:vMerge w:val="restart"/>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固体废物</w:t>
                  </w:r>
                </w:p>
              </w:tc>
              <w:tc>
                <w:tcPr>
                  <w:tcW w:w="3533"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潮粮进厂筛选</w:t>
                  </w:r>
                </w:p>
              </w:tc>
              <w:tc>
                <w:tcPr>
                  <w:tcW w:w="2977"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沙泥</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 w:hRule="atLeast"/>
                <w:jc w:val="center"/>
              </w:trPr>
              <w:tc>
                <w:tcPr>
                  <w:tcW w:w="996"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1875"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533"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olor w:val="auto"/>
                      <w:highlight w:val="none"/>
                      <w:lang w:val="en-US" w:eastAsia="zh-CN"/>
                    </w:rPr>
                    <w:t>装卸、折流挡板、</w:t>
                  </w:r>
                  <w:r>
                    <w:rPr>
                      <w:rFonts w:hint="eastAsia" w:ascii="Times New Roman" w:hAnsi="Times New Roman" w:cs="Times New Roman"/>
                      <w:color w:val="auto"/>
                      <w:szCs w:val="21"/>
                      <w:highlight w:val="none"/>
                      <w:lang w:val="en-US" w:eastAsia="zh-CN"/>
                    </w:rPr>
                    <w:t>清理筛、</w:t>
                  </w:r>
                  <w:r>
                    <w:rPr>
                      <w:rFonts w:hint="eastAsia"/>
                      <w:color w:val="auto"/>
                      <w:highlight w:val="none"/>
                      <w:lang w:val="en-US" w:eastAsia="zh-CN"/>
                    </w:rPr>
                    <w:t>粮仓地面等</w:t>
                  </w:r>
                  <w:r>
                    <w:rPr>
                      <w:rFonts w:hint="default" w:ascii="Times New Roman" w:hAnsi="Times New Roman" w:eastAsia="宋体" w:cs="Times New Roman"/>
                      <w:color w:val="auto"/>
                      <w:szCs w:val="21"/>
                      <w:highlight w:val="none"/>
                      <w:lang w:val="en-US" w:eastAsia="zh-CN"/>
                    </w:rPr>
                    <w:t>收尘</w:t>
                  </w:r>
                </w:p>
              </w:tc>
              <w:tc>
                <w:tcPr>
                  <w:tcW w:w="2977"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粉尘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 w:hRule="atLeast"/>
                <w:jc w:val="center"/>
              </w:trPr>
              <w:tc>
                <w:tcPr>
                  <w:tcW w:w="996"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1875"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533" w:type="dxa"/>
                  <w:noWrap w:val="0"/>
                  <w:vAlign w:val="center"/>
                </w:tcPr>
                <w:p>
                  <w:pPr>
                    <w:adjustRightInd w:val="0"/>
                    <w:snapToGrid w:val="0"/>
                    <w:jc w:val="center"/>
                    <w:rPr>
                      <w:rFonts w:hint="default"/>
                      <w:color w:val="auto"/>
                      <w:highlight w:val="none"/>
                      <w:lang w:val="en-US" w:eastAsia="zh-CN"/>
                    </w:rPr>
                  </w:pPr>
                  <w:r>
                    <w:rPr>
                      <w:rFonts w:hint="eastAsia"/>
                      <w:color w:val="auto"/>
                      <w:highlight w:val="none"/>
                      <w:lang w:val="en-US" w:eastAsia="zh-CN"/>
                    </w:rPr>
                    <w:t>干粮检验</w:t>
                  </w:r>
                </w:p>
              </w:tc>
              <w:tc>
                <w:tcPr>
                  <w:tcW w:w="2977"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不合格粮食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 w:hRule="atLeast"/>
                <w:jc w:val="center"/>
              </w:trPr>
              <w:tc>
                <w:tcPr>
                  <w:tcW w:w="996"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1875"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533"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热风炉灰渣及布袋除尘器收灰</w:t>
                  </w:r>
                </w:p>
              </w:tc>
              <w:tc>
                <w:tcPr>
                  <w:tcW w:w="2977"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废布袋、灰渣和粉尘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02" w:hRule="atLeast"/>
                <w:jc w:val="center"/>
              </w:trPr>
              <w:tc>
                <w:tcPr>
                  <w:tcW w:w="996"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1875"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533"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员工生活</w:t>
                  </w:r>
                </w:p>
              </w:tc>
              <w:tc>
                <w:tcPr>
                  <w:tcW w:w="2977"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生活垃圾</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eastAsia="宋体" w:cs="Times New Roman"/>
                <w:bCs/>
                <w:color w:val="auto"/>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19" w:hRule="atLeast"/>
          <w:jc w:val="center"/>
        </w:trPr>
        <w:tc>
          <w:tcPr>
            <w:tcW w:w="456" w:type="dxa"/>
            <w:noWrap w:val="0"/>
            <w:vAlign w:val="center"/>
          </w:tcPr>
          <w:p>
            <w:pPr>
              <w:pStyle w:val="25"/>
              <w:adjustRightInd w:val="0"/>
              <w:snapToGrid w:val="0"/>
              <w:spacing w:before="0" w:beforeAutospacing="0" w:after="0" w:afterAutospacing="0"/>
              <w:jc w:val="center"/>
              <w:rPr>
                <w:rFonts w:hint="default" w:ascii="Times New Roman" w:hAnsi="Times New Roman" w:cs="Times New Roman"/>
                <w:color w:val="auto"/>
                <w:sz w:val="21"/>
                <w:szCs w:val="21"/>
              </w:rPr>
            </w:pPr>
            <w:r>
              <w:rPr>
                <w:rFonts w:hint="default" w:ascii="Times New Roman" w:hAnsi="Times New Roman" w:cs="Times New Roman"/>
                <w:bCs/>
                <w:color w:val="auto"/>
                <w:kern w:val="2"/>
                <w:sz w:val="24"/>
                <w:szCs w:val="24"/>
              </w:rPr>
              <w:t>与项目有关的原有环境污染问题</w:t>
            </w:r>
          </w:p>
        </w:tc>
        <w:tc>
          <w:tcPr>
            <w:tcW w:w="9601" w:type="dxa"/>
            <w:noWrap w:val="0"/>
            <w:vAlign w:val="center"/>
          </w:tcPr>
          <w:p>
            <w:pPr>
              <w:keepNext w:val="0"/>
              <w:keepLines w:val="0"/>
              <w:pageBreakBefore w:val="0"/>
              <w:widowControl w:val="0"/>
              <w:kinsoku/>
              <w:wordWrap/>
              <w:overflowPunct/>
              <w:topLinePunct w:val="0"/>
              <w:bidi w:val="0"/>
              <w:spacing w:line="360" w:lineRule="auto"/>
              <w:ind w:firstLine="480" w:firstLineChars="200"/>
              <w:textAlignment w:val="auto"/>
              <w:rPr>
                <w:rFonts w:hint="default" w:ascii="Times New Roman" w:hAnsi="Times New Roman" w:cs="Times New Roman"/>
                <w:color w:val="auto"/>
                <w:kern w:val="0"/>
                <w:szCs w:val="21"/>
                <w:lang w:val="en-US" w:eastAsia="zh-CN"/>
              </w:rPr>
            </w:pPr>
            <w:r>
              <w:rPr>
                <w:rFonts w:hint="eastAsia" w:cs="Times New Roman"/>
                <w:color w:val="auto"/>
                <w:sz w:val="24"/>
                <w:szCs w:val="24"/>
                <w:highlight w:val="none"/>
                <w:lang w:val="en-US" w:eastAsia="zh-CN"/>
              </w:rPr>
              <w:t>本项目为新建项目，</w:t>
            </w:r>
            <w:r>
              <w:rPr>
                <w:rFonts w:hint="default" w:ascii="Times New Roman" w:hAnsi="Times New Roman" w:eastAsia="宋体" w:cs="Times New Roman"/>
                <w:color w:val="auto"/>
                <w:sz w:val="24"/>
                <w:szCs w:val="24"/>
                <w:highlight w:val="none"/>
                <w:lang w:val="en-US" w:eastAsia="zh-CN"/>
              </w:rPr>
              <w:t>无原有环境污染问题。</w:t>
            </w:r>
          </w:p>
        </w:tc>
      </w:tr>
    </w:tbl>
    <w:p>
      <w:pPr>
        <w:pStyle w:val="25"/>
        <w:jc w:val="center"/>
        <w:rPr>
          <w:rFonts w:hint="default" w:ascii="Times New Roman" w:hAnsi="Times New Roman" w:eastAsia="黑体" w:cs="Times New Roman"/>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jc w:val="center"/>
        <w:outlineLvl w:val="0"/>
        <w:rPr>
          <w:rFonts w:hint="default" w:ascii="Times New Roman" w:hAnsi="Times New Roman" w:eastAsia="黑体" w:cs="Times New Roman"/>
          <w:snapToGrid w:val="0"/>
          <w:color w:val="auto"/>
          <w:sz w:val="30"/>
          <w:szCs w:val="30"/>
        </w:rPr>
      </w:pPr>
      <w:bookmarkStart w:id="17" w:name="_Toc21604"/>
      <w:bookmarkStart w:id="18" w:name="_Toc28470"/>
      <w:r>
        <w:rPr>
          <w:rFonts w:hint="default" w:ascii="Times New Roman" w:hAnsi="Times New Roman" w:eastAsia="黑体" w:cs="Times New Roman"/>
          <w:snapToGrid w:val="0"/>
          <w:color w:val="auto"/>
          <w:sz w:val="30"/>
          <w:szCs w:val="30"/>
        </w:rPr>
        <w:t>三、区域环境质量现状、环境保护目标及评价标准</w:t>
      </w:r>
      <w:bookmarkEnd w:id="17"/>
      <w:bookmarkEnd w:id="18"/>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4"/>
        <w:gridCol w:w="8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05" w:hRule="atLeast"/>
          <w:jc w:val="center"/>
        </w:trPr>
        <w:tc>
          <w:tcPr>
            <w:tcW w:w="804" w:type="dxa"/>
            <w:noWrap w:val="0"/>
            <w:vAlign w:val="center"/>
          </w:tcPr>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区域</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环境</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质量</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 w:val="24"/>
                <w:szCs w:val="24"/>
              </w:rPr>
              <w:t>现状</w:t>
            </w:r>
          </w:p>
        </w:tc>
        <w:tc>
          <w:tcPr>
            <w:tcW w:w="88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1、环境空气质量现状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（1）基本污染物 </w:t>
            </w:r>
          </w:p>
          <w:p>
            <w:pPr>
              <w:keepNext w:val="0"/>
              <w:keepLines w:val="0"/>
              <w:suppressLineNumbers w:val="0"/>
              <w:spacing w:before="0" w:beforeAutospacing="0" w:after="0" w:afterAutospacing="0" w:line="360" w:lineRule="auto"/>
              <w:ind w:left="0" w:right="0"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本项目所在地属伊春市，</w:t>
            </w:r>
            <w:r>
              <w:rPr>
                <w:rFonts w:hint="default" w:ascii="Times New Roman" w:hAnsi="Times New Roman" w:eastAsia="宋体" w:cs="Times New Roman"/>
                <w:color w:val="auto"/>
                <w:kern w:val="0"/>
                <w:sz w:val="24"/>
                <w:szCs w:val="24"/>
                <w:highlight w:val="none"/>
                <w:u w:val="none" w:color="000000"/>
                <w:lang w:val="en-US" w:eastAsia="zh-CN" w:bidi="ar-SA"/>
              </w:rPr>
              <w:t>根据《202</w:t>
            </w:r>
            <w:r>
              <w:rPr>
                <w:rFonts w:hint="eastAsia" w:cs="Times New Roman"/>
                <w:color w:val="auto"/>
                <w:kern w:val="0"/>
                <w:sz w:val="24"/>
                <w:szCs w:val="24"/>
                <w:highlight w:val="none"/>
                <w:u w:val="none" w:color="000000"/>
                <w:lang w:val="en-US" w:eastAsia="zh-CN" w:bidi="ar-SA"/>
              </w:rPr>
              <w:t>5</w:t>
            </w:r>
            <w:r>
              <w:rPr>
                <w:rFonts w:hint="default" w:ascii="Times New Roman" w:hAnsi="Times New Roman" w:eastAsia="宋体" w:cs="Times New Roman"/>
                <w:color w:val="auto"/>
                <w:kern w:val="0"/>
                <w:sz w:val="24"/>
                <w:szCs w:val="24"/>
                <w:highlight w:val="none"/>
                <w:u w:val="none" w:color="000000"/>
                <w:lang w:val="en-US" w:eastAsia="zh-CN" w:bidi="ar-SA"/>
              </w:rPr>
              <w:t>年</w:t>
            </w:r>
            <w:r>
              <w:rPr>
                <w:rFonts w:hint="eastAsia" w:cs="Times New Roman"/>
                <w:color w:val="auto"/>
                <w:kern w:val="0"/>
                <w:sz w:val="24"/>
                <w:szCs w:val="24"/>
                <w:highlight w:val="none"/>
                <w:u w:val="none" w:color="000000"/>
                <w:lang w:val="en-US" w:eastAsia="zh-CN" w:bidi="ar-SA"/>
              </w:rPr>
              <w:t>黑龙江省</w:t>
            </w:r>
            <w:r>
              <w:rPr>
                <w:rFonts w:hint="default" w:ascii="Times New Roman" w:hAnsi="Times New Roman" w:eastAsia="宋体" w:cs="Times New Roman"/>
                <w:color w:val="auto"/>
                <w:kern w:val="0"/>
                <w:sz w:val="24"/>
                <w:szCs w:val="24"/>
                <w:highlight w:val="none"/>
                <w:u w:val="none" w:color="000000"/>
                <w:lang w:val="en-US" w:eastAsia="zh-CN" w:bidi="ar-SA"/>
              </w:rPr>
              <w:t>生态环境质量</w:t>
            </w:r>
            <w:r>
              <w:rPr>
                <w:rFonts w:hint="eastAsia" w:cs="Times New Roman"/>
                <w:color w:val="auto"/>
                <w:kern w:val="0"/>
                <w:sz w:val="24"/>
                <w:szCs w:val="24"/>
                <w:highlight w:val="none"/>
                <w:u w:val="none" w:color="000000"/>
                <w:lang w:val="en-US" w:eastAsia="zh-CN" w:bidi="ar-SA"/>
              </w:rPr>
              <w:t>状况</w:t>
            </w:r>
            <w:r>
              <w:rPr>
                <w:rFonts w:hint="default" w:ascii="Times New Roman" w:hAnsi="Times New Roman" w:eastAsia="宋体" w:cs="Times New Roman"/>
                <w:color w:val="auto"/>
                <w:kern w:val="0"/>
                <w:sz w:val="24"/>
                <w:szCs w:val="24"/>
                <w:highlight w:val="none"/>
                <w:u w:val="none" w:color="000000"/>
                <w:lang w:val="en-US" w:eastAsia="zh-CN" w:bidi="ar-SA"/>
              </w:rPr>
              <w:t>》</w:t>
            </w:r>
            <w:r>
              <w:rPr>
                <w:rFonts w:hint="default" w:ascii="Times New Roman" w:hAnsi="Times New Roman" w:cs="Times New Roman"/>
                <w:color w:val="auto"/>
                <w:sz w:val="24"/>
                <w:szCs w:val="24"/>
              </w:rPr>
              <w:t>，202</w:t>
            </w:r>
            <w:r>
              <w:rPr>
                <w:rFonts w:hint="eastAsia" w:cs="Times New Roman"/>
                <w:color w:val="auto"/>
                <w:sz w:val="24"/>
                <w:szCs w:val="24"/>
                <w:lang w:val="en-US" w:eastAsia="zh-CN"/>
              </w:rPr>
              <w:t>5</w:t>
            </w:r>
            <w:r>
              <w:rPr>
                <w:rFonts w:hint="default" w:ascii="Times New Roman" w:hAnsi="Times New Roman" w:cs="Times New Roman"/>
                <w:color w:val="auto"/>
                <w:sz w:val="24"/>
                <w:szCs w:val="24"/>
              </w:rPr>
              <w:t>年，全市环境空气质量达标，二氧化硫、二氧化氮年均值、可吸入颗粒物PM</w:t>
            </w:r>
            <w:r>
              <w:rPr>
                <w:rFonts w:hint="default" w:ascii="Times New Roman" w:hAnsi="Times New Roman" w:cs="Times New Roman"/>
                <w:color w:val="auto"/>
                <w:sz w:val="24"/>
                <w:szCs w:val="24"/>
                <w:vertAlign w:val="subscript"/>
              </w:rPr>
              <w:t>10</w:t>
            </w:r>
            <w:r>
              <w:rPr>
                <w:rFonts w:hint="default" w:ascii="Times New Roman" w:hAnsi="Times New Roman" w:cs="Times New Roman"/>
                <w:color w:val="auto"/>
                <w:sz w:val="24"/>
                <w:szCs w:val="24"/>
              </w:rPr>
              <w:t>、细颗粒物 PM</w:t>
            </w:r>
            <w:r>
              <w:rPr>
                <w:rFonts w:hint="default" w:ascii="Times New Roman" w:hAnsi="Times New Roman" w:cs="Times New Roman"/>
                <w:color w:val="auto"/>
                <w:sz w:val="24"/>
                <w:szCs w:val="24"/>
                <w:vertAlign w:val="subscript"/>
              </w:rPr>
              <w:t>2.5</w:t>
            </w:r>
            <w:r>
              <w:rPr>
                <w:rFonts w:hint="default" w:ascii="Times New Roman" w:hAnsi="Times New Roman" w:cs="Times New Roman"/>
                <w:color w:val="auto"/>
                <w:sz w:val="24"/>
                <w:szCs w:val="24"/>
              </w:rPr>
              <w:t>、一氧化碳24小时平均第95百分位数和臭氧日最大8小时滑动平均值的第90百分位数共6项污染物年均值浓度</w:t>
            </w:r>
            <w:r>
              <w:rPr>
                <w:rFonts w:hint="eastAsia" w:cs="Times New Roman"/>
                <w:color w:val="auto"/>
                <w:sz w:val="24"/>
                <w:szCs w:val="24"/>
                <w:lang w:val="en-US" w:eastAsia="zh-CN"/>
              </w:rPr>
              <w:t>满足</w:t>
            </w:r>
            <w:r>
              <w:rPr>
                <w:rFonts w:hint="default" w:ascii="Times New Roman" w:hAnsi="Times New Roman" w:eastAsia="宋体" w:cs="Times New Roman"/>
                <w:color w:val="auto"/>
                <w:sz w:val="24"/>
                <w:highlight w:val="none"/>
                <w:lang w:val="en-US" w:eastAsia="zh-CN"/>
              </w:rPr>
              <w:t>《环境空气质量标准》（GB3095-2026）</w:t>
            </w:r>
            <w:r>
              <w:rPr>
                <w:rFonts w:hint="eastAsia" w:cs="Times New Roman"/>
                <w:color w:val="auto"/>
                <w:sz w:val="24"/>
                <w:highlight w:val="none"/>
                <w:lang w:val="en-US" w:eastAsia="zh-CN"/>
              </w:rPr>
              <w:t>过渡阶段</w:t>
            </w:r>
            <w:r>
              <w:rPr>
                <w:rFonts w:hint="default" w:ascii="Times New Roman" w:hAnsi="Times New Roman" w:eastAsia="宋体" w:cs="Times New Roman"/>
                <w:color w:val="auto"/>
                <w:sz w:val="24"/>
                <w:highlight w:val="none"/>
                <w:lang w:val="en-US" w:eastAsia="zh-CN"/>
              </w:rPr>
              <w:t>二级标准要求</w:t>
            </w:r>
            <w:r>
              <w:rPr>
                <w:rFonts w:hint="default" w:ascii="Times New Roman" w:hAnsi="Times New Roman" w:cs="Times New Roman"/>
                <w:color w:val="auto"/>
                <w:sz w:val="24"/>
                <w:szCs w:val="24"/>
              </w:rPr>
              <w:t>。本项目所在区域属于达标区。</w:t>
            </w:r>
          </w:p>
          <w:p>
            <w:pPr>
              <w:keepNext w:val="0"/>
              <w:keepLines w:val="0"/>
              <w:suppressLineNumbers w:val="0"/>
              <w:adjustRightInd w:val="0"/>
              <w:snapToGrid w:val="0"/>
              <w:spacing w:before="0" w:beforeAutospacing="0" w:after="0" w:afterAutospacing="0"/>
              <w:ind w:left="0" w:right="0" w:firstLine="422"/>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表3-</w:t>
            </w:r>
            <w:r>
              <w:rPr>
                <w:rFonts w:hint="eastAsia" w:ascii="Times New Roman" w:hAnsi="Times New Roman" w:cs="Times New Roman"/>
                <w:b/>
                <w:bCs/>
                <w:color w:val="auto"/>
                <w:sz w:val="24"/>
                <w:szCs w:val="24"/>
                <w:lang w:val="en-US" w:eastAsia="zh-CN"/>
              </w:rPr>
              <w:t>1</w:t>
            </w:r>
            <w:r>
              <w:rPr>
                <w:rFonts w:hint="default" w:ascii="Times New Roman" w:hAnsi="Times New Roman" w:cs="Times New Roman"/>
                <w:b/>
                <w:bCs/>
                <w:color w:val="auto"/>
                <w:sz w:val="24"/>
                <w:szCs w:val="24"/>
              </w:rPr>
              <w:t xml:space="preserve">  202</w:t>
            </w:r>
            <w:r>
              <w:rPr>
                <w:rFonts w:hint="eastAsia" w:cs="Times New Roman"/>
                <w:b/>
                <w:bCs/>
                <w:color w:val="auto"/>
                <w:sz w:val="24"/>
                <w:szCs w:val="24"/>
                <w:lang w:val="en-US" w:eastAsia="zh-CN"/>
              </w:rPr>
              <w:t>5</w:t>
            </w:r>
            <w:r>
              <w:rPr>
                <w:rFonts w:hint="default" w:ascii="Times New Roman" w:hAnsi="Times New Roman" w:cs="Times New Roman"/>
                <w:b/>
                <w:bCs/>
                <w:color w:val="auto"/>
                <w:sz w:val="24"/>
                <w:szCs w:val="24"/>
              </w:rPr>
              <w:t>年环境空气各项污染物达标情况一览表   单位：μg/m</w:t>
            </w:r>
            <w:r>
              <w:rPr>
                <w:rFonts w:hint="default" w:ascii="Times New Roman" w:hAnsi="Times New Roman" w:cs="Times New Roman"/>
                <w:b/>
                <w:bCs/>
                <w:color w:val="auto"/>
                <w:sz w:val="24"/>
                <w:szCs w:val="24"/>
                <w:vertAlign w:val="superscript"/>
              </w:rPr>
              <w:t>3</w:t>
            </w:r>
          </w:p>
          <w:tbl>
            <w:tblPr>
              <w:tblStyle w:val="30"/>
              <w:tblW w:w="8615"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794"/>
              <w:gridCol w:w="3374"/>
              <w:gridCol w:w="1067"/>
              <w:gridCol w:w="1239"/>
              <w:gridCol w:w="1019"/>
              <w:gridCol w:w="112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污染物</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年评价指标</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现状浓度/（μg/m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标准值/（μg/m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占标率/%</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PM</w:t>
                  </w:r>
                  <w:r>
                    <w:rPr>
                      <w:rFonts w:hint="default" w:ascii="Times New Roman" w:hAnsi="Times New Roman" w:cs="Times New Roman"/>
                      <w:color w:val="auto"/>
                      <w:sz w:val="21"/>
                      <w:szCs w:val="21"/>
                      <w:vertAlign w:val="subscript"/>
                      <w:lang w:bidi="ar"/>
                    </w:rPr>
                    <w:t>2.5</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24</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bidi="ar"/>
                    </w:rPr>
                    <w:t>30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80</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PM</w:t>
                  </w:r>
                  <w:r>
                    <w:rPr>
                      <w:rFonts w:hint="default" w:ascii="Times New Roman" w:hAnsi="Times New Roman" w:cs="Times New Roman"/>
                      <w:color w:val="auto"/>
                      <w:sz w:val="21"/>
                      <w:szCs w:val="21"/>
                      <w:vertAlign w:val="subscript"/>
                      <w:lang w:bidi="ar"/>
                    </w:rPr>
                    <w:t>10</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bidi="ar"/>
                    </w:rPr>
                    <w:t>3</w:t>
                  </w:r>
                  <w:r>
                    <w:rPr>
                      <w:rFonts w:hint="eastAsia" w:ascii="Times New Roman" w:hAnsi="Times New Roman" w:cs="Times New Roman"/>
                      <w:color w:val="auto"/>
                      <w:sz w:val="21"/>
                      <w:szCs w:val="21"/>
                      <w:lang w:val="en-US" w:eastAsia="zh-CN" w:bidi="ar"/>
                    </w:rPr>
                    <w:t>2</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bidi="ar"/>
                    </w:rPr>
                    <w:t>60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53.33</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SO</w:t>
                  </w:r>
                  <w:r>
                    <w:rPr>
                      <w:rFonts w:hint="default" w:ascii="Times New Roman" w:hAnsi="Times New Roman" w:cs="Times New Roman"/>
                      <w:color w:val="auto"/>
                      <w:sz w:val="21"/>
                      <w:szCs w:val="21"/>
                      <w:vertAlign w:val="subscript"/>
                      <w:lang w:bidi="ar"/>
                    </w:rPr>
                    <w:t>2</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val="en-US" w:eastAsia="zh-CN" w:bidi="ar"/>
                    </w:rPr>
                    <w:t>5</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8.33</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NO</w:t>
                  </w:r>
                  <w:r>
                    <w:rPr>
                      <w:rFonts w:hint="default" w:ascii="Times New Roman" w:hAnsi="Times New Roman" w:cs="Times New Roman"/>
                      <w:color w:val="auto"/>
                      <w:sz w:val="21"/>
                      <w:szCs w:val="21"/>
                      <w:vertAlign w:val="subscript"/>
                      <w:lang w:bidi="ar"/>
                    </w:rPr>
                    <w:t>2</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bidi="ar"/>
                    </w:rPr>
                    <w:t>11</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27.5</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CO</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第95百分位数日平均浓度（mg/m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bidi="ar"/>
                    </w:rPr>
                    <w:t>1.0</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w:t>
                  </w:r>
                  <w:r>
                    <w:rPr>
                      <w:rFonts w:hint="eastAsia" w:ascii="Times New Roman" w:hAnsi="Times New Roman" w:cs="Times New Roman"/>
                      <w:color w:val="auto"/>
                      <w:sz w:val="21"/>
                      <w:szCs w:val="21"/>
                      <w:lang w:val="en-US" w:eastAsia="zh-CN" w:bidi="ar"/>
                    </w:rPr>
                    <w:t>5</w:t>
                  </w:r>
                  <w:r>
                    <w:rPr>
                      <w:rFonts w:hint="default" w:ascii="Times New Roman" w:hAnsi="Times New Roman" w:cs="Times New Roman"/>
                      <w:color w:val="auto"/>
                      <w:sz w:val="21"/>
                      <w:szCs w:val="21"/>
                      <w:lang w:bidi="ar"/>
                    </w:rPr>
                    <w:t>.00</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O</w:t>
                  </w:r>
                  <w:r>
                    <w:rPr>
                      <w:rFonts w:hint="default" w:ascii="Times New Roman" w:hAnsi="Times New Roman" w:cs="Times New Roman"/>
                      <w:color w:val="auto"/>
                      <w:sz w:val="21"/>
                      <w:szCs w:val="21"/>
                      <w:vertAlign w:val="subscript"/>
                      <w:lang w:bidi="ar"/>
                    </w:rPr>
                    <w:t>3</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第90百分位数8h平均质量浓度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bidi="ar"/>
                    </w:rPr>
                    <w:t>10</w:t>
                  </w:r>
                  <w:r>
                    <w:rPr>
                      <w:rFonts w:hint="eastAsia" w:ascii="Times New Roman" w:hAnsi="Times New Roman" w:cs="Times New Roman"/>
                      <w:color w:val="auto"/>
                      <w:sz w:val="21"/>
                      <w:szCs w:val="21"/>
                      <w:lang w:val="en-US" w:eastAsia="zh-CN" w:bidi="ar"/>
                    </w:rPr>
                    <w:t>2</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160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63.75</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bl>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18"/>
                <w:szCs w:val="18"/>
              </w:rPr>
              <w:t>注：日均值第X百分位数按照《</w:t>
            </w:r>
            <w:r>
              <w:rPr>
                <w:rFonts w:hint="eastAsia" w:ascii="Times New Roman" w:hAnsi="Times New Roman" w:cs="Times New Roman"/>
                <w:color w:val="auto"/>
                <w:sz w:val="18"/>
                <w:szCs w:val="18"/>
                <w:lang w:eastAsia="zh-CN"/>
              </w:rPr>
              <w:t>环境空气质量评价技术规范</w:t>
            </w:r>
            <w:r>
              <w:rPr>
                <w:rFonts w:hint="default" w:ascii="Times New Roman" w:hAnsi="Times New Roman" w:cs="Times New Roman"/>
                <w:color w:val="auto"/>
                <w:sz w:val="18"/>
                <w:szCs w:val="18"/>
              </w:rPr>
              <w:t>》（</w:t>
            </w:r>
            <w:r>
              <w:rPr>
                <w:rFonts w:hint="eastAsia" w:ascii="Times New Roman" w:hAnsi="Times New Roman" w:cs="Times New Roman"/>
                <w:color w:val="auto"/>
                <w:sz w:val="18"/>
                <w:szCs w:val="18"/>
                <w:lang w:eastAsia="zh-CN"/>
              </w:rPr>
              <w:t>HJ 663-2026</w:t>
            </w:r>
            <w:r>
              <w:rPr>
                <w:rFonts w:hint="default" w:ascii="Times New Roman" w:hAnsi="Times New Roman" w:cs="Times New Roman"/>
                <w:color w:val="auto"/>
                <w:sz w:val="18"/>
                <w:szCs w:val="18"/>
              </w:rPr>
              <w:t>），二氧化氮、二氧化硫X为98，PM</w:t>
            </w:r>
            <w:r>
              <w:rPr>
                <w:rFonts w:hint="default" w:ascii="Times New Roman" w:hAnsi="Times New Roman" w:cs="Times New Roman"/>
                <w:color w:val="auto"/>
                <w:sz w:val="18"/>
                <w:szCs w:val="18"/>
                <w:vertAlign w:val="subscript"/>
              </w:rPr>
              <w:t>2.5</w:t>
            </w:r>
            <w:r>
              <w:rPr>
                <w:rFonts w:hint="default" w:ascii="Times New Roman" w:hAnsi="Times New Roman" w:cs="Times New Roman"/>
                <w:color w:val="auto"/>
                <w:sz w:val="18"/>
                <w:szCs w:val="18"/>
              </w:rPr>
              <w:t>、PM</w:t>
            </w:r>
            <w:r>
              <w:rPr>
                <w:rFonts w:hint="default" w:ascii="Times New Roman" w:hAnsi="Times New Roman" w:cs="Times New Roman"/>
                <w:color w:val="auto"/>
                <w:sz w:val="18"/>
                <w:szCs w:val="18"/>
                <w:vertAlign w:val="subscript"/>
              </w:rPr>
              <w:t>10</w:t>
            </w:r>
            <w:r>
              <w:rPr>
                <w:rFonts w:hint="default" w:ascii="Times New Roman" w:hAnsi="Times New Roman" w:cs="Times New Roman"/>
                <w:color w:val="auto"/>
                <w:sz w:val="18"/>
                <w:szCs w:val="18"/>
              </w:rPr>
              <w:t>、一氧化碳X为95，臭氧日最大8小时平均X为90。</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4"/>
                <w:szCs w:val="24"/>
                <w:highlight w:val="none"/>
                <w:lang w:val="en-US" w:eastAsia="zh-CN"/>
              </w:rPr>
              <w:t>由表3-1可知，本项目区域属于环境空气质量达标区。</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（2）其它污染物（TSP）</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zh-CN"/>
              </w:rPr>
            </w:pPr>
            <w:r>
              <w:rPr>
                <w:rFonts w:hint="eastAsia" w:cs="Times New Roman"/>
                <w:color w:val="auto"/>
                <w:sz w:val="24"/>
                <w:szCs w:val="24"/>
                <w:lang w:val="en-US" w:eastAsia="zh-CN"/>
              </w:rPr>
              <w:t>根据《建设项目环境影响报告表编制技术指南（污染影响类）（试行）》，</w:t>
            </w:r>
            <w:r>
              <w:rPr>
                <w:rFonts w:hint="default" w:ascii="Times New Roman" w:hAnsi="Times New Roman" w:cs="Times New Roman"/>
                <w:color w:val="auto"/>
                <w:sz w:val="24"/>
                <w:szCs w:val="24"/>
                <w:lang w:val="en-US" w:eastAsia="zh-CN"/>
              </w:rPr>
              <w:t>排放国家、地方环境空气质量标准中有标准限值要求的特征污染物时，引用建设项目周边5千米范围内近3年的现有监测数据</w:t>
            </w:r>
            <w:r>
              <w:rPr>
                <w:rFonts w:hint="eastAsia" w:cs="Times New Roman"/>
                <w:color w:val="auto"/>
                <w:sz w:val="24"/>
                <w:szCs w:val="24"/>
                <w:lang w:val="en-US" w:eastAsia="zh-CN"/>
              </w:rPr>
              <w:t>，本次</w:t>
            </w:r>
            <w:r>
              <w:rPr>
                <w:rFonts w:hint="default" w:ascii="Times New Roman" w:hAnsi="Times New Roman" w:cs="Times New Roman"/>
                <w:color w:val="auto"/>
                <w:sz w:val="24"/>
                <w:szCs w:val="24"/>
                <w:lang w:val="en-US" w:eastAsia="zh-CN"/>
              </w:rPr>
              <w:t>评价</w:t>
            </w:r>
            <w:r>
              <w:rPr>
                <w:rFonts w:hint="eastAsia" w:cs="Times New Roman"/>
                <w:color w:val="auto"/>
                <w:sz w:val="24"/>
                <w:szCs w:val="24"/>
                <w:lang w:val="en-US" w:eastAsia="zh-CN"/>
              </w:rPr>
              <w:t>引用《国道丹阿公路嘉荫（稻田村）至嘉逊界（双胜村）段改扩建工程项目A2标段沥青混凝土拌和站环境影响报告表》现状监测报告，该项目大气监测点位位于本项目西南侧约4.1km，监测时间为2026年1月21日至2026年1月23日，</w:t>
            </w:r>
            <w:r>
              <w:rPr>
                <w:rFonts w:hint="default" w:ascii="Times New Roman" w:hAnsi="Times New Roman" w:eastAsia="宋体" w:cs="Times New Roman"/>
                <w:color w:val="auto"/>
                <w:sz w:val="24"/>
                <w:szCs w:val="24"/>
                <w:highlight w:val="none"/>
                <w:lang w:val="zh-CN"/>
              </w:rPr>
              <w:t>监测点位置具体见表</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zh-CN"/>
              </w:rPr>
              <w:t>-2和图</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zh-CN"/>
              </w:rPr>
              <w:t>-1。</w:t>
            </w:r>
          </w:p>
          <w:p>
            <w:pPr>
              <w:pStyle w:val="36"/>
              <w:jc w:val="center"/>
              <w:rPr>
                <w:rFonts w:hint="default" w:ascii="Times New Roman" w:hAnsi="Times New Roman" w:cs="Times New Roman"/>
                <w:color w:val="auto"/>
              </w:rPr>
            </w:pPr>
            <w:r>
              <w:drawing>
                <wp:inline distT="0" distB="0" distL="114300" distR="114300">
                  <wp:extent cx="3963670" cy="3437890"/>
                  <wp:effectExtent l="0" t="0" r="17780" b="10160"/>
                  <wp:docPr id="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1"/>
                          </pic:cNvPicPr>
                        </pic:nvPicPr>
                        <pic:blipFill>
                          <a:blip r:embed="rId18"/>
                          <a:stretch>
                            <a:fillRect/>
                          </a:stretch>
                        </pic:blipFill>
                        <pic:spPr>
                          <a:xfrm>
                            <a:off x="0" y="0"/>
                            <a:ext cx="3963670" cy="3437890"/>
                          </a:xfrm>
                          <a:prstGeom prst="rect">
                            <a:avLst/>
                          </a:prstGeom>
                          <a:noFill/>
                          <a:ln>
                            <a:noFill/>
                          </a:ln>
                        </pic:spPr>
                      </pic:pic>
                    </a:graphicData>
                  </a:graphic>
                </wp:inline>
              </w:drawing>
            </w:r>
            <w:r>
              <w:rPr>
                <w:color w:val="auto"/>
              </w:rPr>
              <w:drawing>
                <wp:anchor distT="0" distB="0" distL="114300" distR="114300" simplePos="0" relativeHeight="251669504" behindDoc="0" locked="0" layoutInCell="1" allowOverlap="1">
                  <wp:simplePos x="0" y="0"/>
                  <wp:positionH relativeFrom="column">
                    <wp:posOffset>4156075</wp:posOffset>
                  </wp:positionH>
                  <wp:positionV relativeFrom="paragraph">
                    <wp:posOffset>-3810</wp:posOffset>
                  </wp:positionV>
                  <wp:extent cx="855345" cy="829945"/>
                  <wp:effectExtent l="0" t="0" r="1905" b="8255"/>
                  <wp:wrapNone/>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9"/>
                          <a:stretch>
                            <a:fillRect/>
                          </a:stretch>
                        </pic:blipFill>
                        <pic:spPr>
                          <a:xfrm>
                            <a:off x="0" y="0"/>
                            <a:ext cx="855345" cy="829945"/>
                          </a:xfrm>
                          <a:prstGeom prst="rect">
                            <a:avLst/>
                          </a:prstGeom>
                          <a:noFill/>
                          <a:ln>
                            <a:noFill/>
                          </a:ln>
                        </pic:spPr>
                      </pic:pic>
                    </a:graphicData>
                  </a:graphic>
                </wp:anchor>
              </w:drawing>
            </w:r>
          </w:p>
          <w:p>
            <w:pPr>
              <w:jc w:val="cente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eastAsia="zh-CN"/>
              </w:rPr>
              <w:t>图</w:t>
            </w:r>
            <w:r>
              <w:rPr>
                <w:rFonts w:hint="default" w:ascii="Times New Roman" w:hAnsi="Times New Roman" w:cs="Times New Roman"/>
                <w:b/>
                <w:bCs/>
                <w:color w:val="auto"/>
                <w:sz w:val="24"/>
                <w:szCs w:val="24"/>
                <w:lang w:val="en-US" w:eastAsia="zh-CN"/>
              </w:rPr>
              <w:t>3-1 监测点位示意图</w:t>
            </w:r>
          </w:p>
          <w:p>
            <w:pPr>
              <w:spacing w:line="24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表</w:t>
            </w: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2 项目环境空气现状监测布点一览表</w:t>
            </w:r>
          </w:p>
          <w:tbl>
            <w:tblPr>
              <w:tblStyle w:val="31"/>
              <w:tblW w:w="8504" w:type="dxa"/>
              <w:tblInd w:w="28"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71"/>
              <w:gridCol w:w="1424"/>
              <w:gridCol w:w="1319"/>
              <w:gridCol w:w="811"/>
              <w:gridCol w:w="2041"/>
              <w:gridCol w:w="857"/>
              <w:gridCol w:w="108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971"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监测点名称</w:t>
                  </w:r>
                </w:p>
              </w:tc>
              <w:tc>
                <w:tcPr>
                  <w:tcW w:w="2743" w:type="dxa"/>
                  <w:gridSpan w:val="2"/>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lang w:val="en-US" w:eastAsia="zh-CN"/>
                    </w:rPr>
                  </w:pPr>
                  <w:r>
                    <w:rPr>
                      <w:rFonts w:hint="default" w:ascii="Times New Roman" w:hAnsi="Times New Roman" w:eastAsia="宋体" w:cs="Times New Roman"/>
                      <w:color w:val="auto"/>
                      <w:sz w:val="21"/>
                      <w:szCs w:val="21"/>
                      <w:highlight w:val="none"/>
                      <w:lang w:val="en-US" w:eastAsia="zh-CN"/>
                    </w:rPr>
                    <w:t>坐标(°)</w:t>
                  </w:r>
                </w:p>
              </w:tc>
              <w:tc>
                <w:tcPr>
                  <w:tcW w:w="811"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监测因子</w:t>
                  </w:r>
                </w:p>
              </w:tc>
              <w:tc>
                <w:tcPr>
                  <w:tcW w:w="2041"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监测时段</w:t>
                  </w:r>
                </w:p>
              </w:tc>
              <w:tc>
                <w:tcPr>
                  <w:tcW w:w="857"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相对厂址方位</w:t>
                  </w:r>
                </w:p>
              </w:tc>
              <w:tc>
                <w:tcPr>
                  <w:tcW w:w="1081"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相对厂界距离</w:t>
                  </w:r>
                  <w:r>
                    <w:rPr>
                      <w:rFonts w:hint="default" w:ascii="Times New Roman" w:hAnsi="Times New Roman" w:eastAsia="宋体" w:cs="Times New Roman"/>
                      <w:color w:val="auto"/>
                      <w:sz w:val="21"/>
                      <w:szCs w:val="21"/>
                      <w:highlight w:val="none"/>
                      <w:lang w:eastAsia="zh-CN"/>
                    </w:rPr>
                    <w:t>（</w:t>
                  </w:r>
                  <w:r>
                    <w:rPr>
                      <w:rFonts w:hint="eastAsia" w:ascii="Times New Roman" w:eastAsia="宋体" w:cs="Times New Roman"/>
                      <w:color w:val="auto"/>
                      <w:sz w:val="21"/>
                      <w:szCs w:val="21"/>
                      <w:highlight w:val="none"/>
                      <w:lang w:val="en-US" w:eastAsia="zh-CN"/>
                    </w:rPr>
                    <w:t>k</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971"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p>
              </w:tc>
              <w:tc>
                <w:tcPr>
                  <w:tcW w:w="1424"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lang w:eastAsia="zh-CN"/>
                    </w:rPr>
                  </w:pPr>
                  <w:r>
                    <w:rPr>
                      <w:rFonts w:hint="default" w:ascii="Times New Roman" w:hAnsi="Times New Roman" w:eastAsia="宋体" w:cs="Times New Roman"/>
                      <w:color w:val="auto"/>
                      <w:sz w:val="21"/>
                      <w:szCs w:val="21"/>
                      <w:highlight w:val="none"/>
                      <w:lang w:val="en-US" w:eastAsia="zh-CN"/>
                    </w:rPr>
                    <w:t>经度</w:t>
                  </w:r>
                </w:p>
              </w:tc>
              <w:tc>
                <w:tcPr>
                  <w:tcW w:w="1319"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lang w:eastAsia="zh-CN"/>
                    </w:rPr>
                  </w:pPr>
                  <w:r>
                    <w:rPr>
                      <w:rFonts w:hint="default" w:ascii="Times New Roman" w:hAnsi="Times New Roman" w:eastAsia="宋体" w:cs="Times New Roman"/>
                      <w:color w:val="auto"/>
                      <w:sz w:val="21"/>
                      <w:szCs w:val="21"/>
                      <w:highlight w:val="none"/>
                      <w:lang w:val="en-US" w:eastAsia="zh-CN"/>
                    </w:rPr>
                    <w:t>纬度</w:t>
                  </w:r>
                </w:p>
              </w:tc>
              <w:tc>
                <w:tcPr>
                  <w:tcW w:w="811"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p>
              </w:tc>
              <w:tc>
                <w:tcPr>
                  <w:tcW w:w="2041"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yellow"/>
                    </w:rPr>
                  </w:pPr>
                </w:p>
              </w:tc>
              <w:tc>
                <w:tcPr>
                  <w:tcW w:w="857"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yellow"/>
                    </w:rPr>
                  </w:pPr>
                </w:p>
              </w:tc>
              <w:tc>
                <w:tcPr>
                  <w:tcW w:w="1081"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yellow"/>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971" w:type="dxa"/>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厂界西北侧4.1km</w:t>
                  </w:r>
                </w:p>
              </w:tc>
              <w:tc>
                <w:tcPr>
                  <w:tcW w:w="1424"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olor w:val="auto"/>
                    </w:rPr>
                    <w:t>130.03000723</w:t>
                  </w:r>
                </w:p>
              </w:tc>
              <w:tc>
                <w:tcPr>
                  <w:tcW w:w="1319"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olor w:val="auto"/>
                    </w:rPr>
                    <w:t>48.91527935</w:t>
                  </w:r>
                </w:p>
              </w:tc>
              <w:tc>
                <w:tcPr>
                  <w:tcW w:w="811" w:type="dxa"/>
                  <w:tcBorders>
                    <w:top w:val="single" w:color="000000" w:sz="8" w:space="0"/>
                  </w:tcBorders>
                  <w:noWrap w:val="0"/>
                  <w:vAlign w:val="center"/>
                </w:tcPr>
                <w:p>
                  <w:pPr>
                    <w:pStyle w:val="36"/>
                    <w:spacing w:line="240" w:lineRule="auto"/>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总悬浮颗粒物</w:t>
                  </w:r>
                </w:p>
              </w:tc>
              <w:tc>
                <w:tcPr>
                  <w:tcW w:w="2041" w:type="dxa"/>
                  <w:tcBorders>
                    <w:top w:val="single" w:color="000000" w:sz="8" w:space="0"/>
                  </w:tcBorders>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bidi="ar-SA"/>
                    </w:rPr>
                  </w:pPr>
                  <w:r>
                    <w:rPr>
                      <w:rFonts w:hint="eastAsia" w:cs="Times New Roman"/>
                      <w:snapToGrid w:val="0"/>
                      <w:color w:val="auto"/>
                      <w:kern w:val="0"/>
                      <w:szCs w:val="21"/>
                      <w:lang w:val="en-US" w:eastAsia="zh-CN"/>
                    </w:rPr>
                    <w:t>2026.1.21-2026.1.23</w:t>
                  </w:r>
                </w:p>
              </w:tc>
              <w:tc>
                <w:tcPr>
                  <w:tcW w:w="857" w:type="dxa"/>
                  <w:noWrap w:val="0"/>
                  <w:vAlign w:val="center"/>
                </w:tcPr>
                <w:p>
                  <w:pPr>
                    <w:pStyle w:val="36"/>
                    <w:spacing w:line="240" w:lineRule="auto"/>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NE</w:t>
                  </w:r>
                </w:p>
              </w:tc>
              <w:tc>
                <w:tcPr>
                  <w:tcW w:w="1081" w:type="dxa"/>
                  <w:noWrap w:val="0"/>
                  <w:vAlign w:val="center"/>
                </w:tcPr>
                <w:p>
                  <w:pPr>
                    <w:pStyle w:val="36"/>
                    <w:spacing w:line="240" w:lineRule="auto"/>
                    <w:jc w:val="center"/>
                    <w:rPr>
                      <w:rFonts w:hint="default" w:ascii="Times New Roman" w:hAnsi="Times New Roman" w:eastAsia="宋体" w:cs="Times New Roman"/>
                      <w:color w:val="auto"/>
                      <w:sz w:val="21"/>
                      <w:szCs w:val="21"/>
                      <w:highlight w:val="yellow"/>
                      <w:lang w:val="en-US" w:eastAsia="zh-CN"/>
                    </w:rPr>
                  </w:pPr>
                  <w:r>
                    <w:rPr>
                      <w:rFonts w:hint="eastAsia" w:ascii="Times New Roman" w:eastAsia="宋体" w:cs="Times New Roman"/>
                      <w:color w:val="auto"/>
                      <w:sz w:val="21"/>
                      <w:szCs w:val="21"/>
                      <w:highlight w:val="none"/>
                      <w:lang w:val="en-US" w:eastAsia="zh-CN"/>
                    </w:rPr>
                    <w:t>4.6</w:t>
                  </w:r>
                </w:p>
              </w:tc>
            </w:tr>
          </w:tbl>
          <w:p>
            <w:pPr>
              <w:spacing w:line="240" w:lineRule="auto"/>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表3</w:t>
            </w: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其他污染物环境质量现状监测结果表</w:t>
            </w:r>
          </w:p>
          <w:tbl>
            <w:tblPr>
              <w:tblStyle w:val="30"/>
              <w:tblW w:w="850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12"/>
              <w:gridCol w:w="1424"/>
              <w:gridCol w:w="1319"/>
              <w:gridCol w:w="527"/>
              <w:gridCol w:w="494"/>
              <w:gridCol w:w="998"/>
              <w:gridCol w:w="1231"/>
              <w:gridCol w:w="686"/>
              <w:gridCol w:w="512"/>
              <w:gridCol w:w="50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12"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w:t>
                  </w:r>
                </w:p>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点位</w:t>
                  </w:r>
                </w:p>
              </w:tc>
              <w:tc>
                <w:tcPr>
                  <w:tcW w:w="2743" w:type="dxa"/>
                  <w:gridSpan w:val="2"/>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坐标(°)</w:t>
                  </w:r>
                </w:p>
              </w:tc>
              <w:tc>
                <w:tcPr>
                  <w:tcW w:w="527"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494"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评价时间</w:t>
                  </w:r>
                </w:p>
              </w:tc>
              <w:tc>
                <w:tcPr>
                  <w:tcW w:w="998"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评价标准/(mg/m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c>
                <w:tcPr>
                  <w:tcW w:w="1231"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监测浓度范围</w:t>
                  </w:r>
                </w:p>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c>
                <w:tcPr>
                  <w:tcW w:w="686"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最大浓度占标率/%</w:t>
                  </w:r>
                </w:p>
              </w:tc>
              <w:tc>
                <w:tcPr>
                  <w:tcW w:w="512"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超标率/%</w:t>
                  </w:r>
                </w:p>
              </w:tc>
              <w:tc>
                <w:tcPr>
                  <w:tcW w:w="501"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12"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1424"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经度</w:t>
                  </w:r>
                </w:p>
              </w:tc>
              <w:tc>
                <w:tcPr>
                  <w:tcW w:w="1319"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纬度</w:t>
                  </w:r>
                </w:p>
              </w:tc>
              <w:tc>
                <w:tcPr>
                  <w:tcW w:w="527"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494"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998"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1231"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686"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512"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501"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12" w:type="dxa"/>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厂界西北侧4.1km</w:t>
                  </w:r>
                </w:p>
              </w:tc>
              <w:tc>
                <w:tcPr>
                  <w:tcW w:w="1424"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olor w:val="auto"/>
                    </w:rPr>
                    <w:t>130.03000723</w:t>
                  </w:r>
                </w:p>
              </w:tc>
              <w:tc>
                <w:tcPr>
                  <w:tcW w:w="1319"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lang w:val="en-US" w:eastAsia="zh-CN"/>
                    </w:rPr>
                  </w:pPr>
                  <w:r>
                    <w:rPr>
                      <w:rFonts w:hint="eastAsia"/>
                      <w:color w:val="auto"/>
                    </w:rPr>
                    <w:t>48.91527935</w:t>
                  </w:r>
                </w:p>
              </w:tc>
              <w:tc>
                <w:tcPr>
                  <w:tcW w:w="527" w:type="dxa"/>
                  <w:tcBorders>
                    <w:top w:val="single" w:color="000000" w:sz="8" w:space="0"/>
                  </w:tcBorders>
                  <w:noWrap w:val="0"/>
                  <w:vAlign w:val="center"/>
                </w:tcPr>
                <w:p>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总悬浮颗粒物</w:t>
                  </w:r>
                </w:p>
              </w:tc>
              <w:tc>
                <w:tcPr>
                  <w:tcW w:w="494" w:type="dxa"/>
                  <w:tcBorders>
                    <w:top w:val="single" w:color="000000" w:sz="8" w:space="0"/>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Cs w:val="21"/>
                      <w:highlight w:val="none"/>
                    </w:rPr>
                    <w:t>24小时平均值</w:t>
                  </w:r>
                </w:p>
              </w:tc>
              <w:tc>
                <w:tcPr>
                  <w:tcW w:w="998" w:type="dxa"/>
                  <w:tcBorders>
                    <w:top w:val="single" w:color="000000" w:sz="8" w:space="0"/>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0.3</w:t>
                  </w:r>
                </w:p>
              </w:tc>
              <w:tc>
                <w:tcPr>
                  <w:tcW w:w="1231" w:type="dxa"/>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0.075-0.082</w:t>
                  </w:r>
                </w:p>
              </w:tc>
              <w:tc>
                <w:tcPr>
                  <w:tcW w:w="686" w:type="dxa"/>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27.3</w:t>
                  </w:r>
                </w:p>
              </w:tc>
              <w:tc>
                <w:tcPr>
                  <w:tcW w:w="512" w:type="dxa"/>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w:t>
                  </w:r>
                </w:p>
              </w:tc>
              <w:tc>
                <w:tcPr>
                  <w:tcW w:w="501" w:type="dxa"/>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bl>
          <w:p>
            <w:pPr>
              <w:pStyle w:val="87"/>
              <w:tabs>
                <w:tab w:val="left" w:pos="0"/>
              </w:tabs>
              <w:spacing w:line="360" w:lineRule="auto"/>
              <w:ind w:left="0" w:leftChars="0" w:firstLine="480" w:firstLineChars="200"/>
              <w:jc w:val="left"/>
              <w:rPr>
                <w:rFonts w:hint="default" w:ascii="Times New Roman" w:hAnsi="Times New Roman" w:cs="Times New Roman"/>
                <w:color w:val="auto"/>
                <w:lang w:val="en-US" w:eastAsia="zh-CN"/>
              </w:rPr>
            </w:pPr>
            <w:r>
              <w:rPr>
                <w:rFonts w:hint="default" w:ascii="Times New Roman" w:hAnsi="Times New Roman" w:eastAsia="宋体" w:cs="Times New Roman"/>
                <w:color w:val="auto"/>
                <w:sz w:val="24"/>
                <w:szCs w:val="24"/>
                <w:highlight w:val="none"/>
              </w:rPr>
              <w:t>由表</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-3可知，本项目所在区域在监测时段内</w:t>
            </w:r>
            <w:r>
              <w:rPr>
                <w:rFonts w:hint="default" w:ascii="Times New Roman" w:hAnsi="Times New Roman" w:eastAsia="宋体" w:cs="Times New Roman"/>
                <w:color w:val="auto"/>
                <w:sz w:val="24"/>
                <w:szCs w:val="24"/>
                <w:highlight w:val="none"/>
                <w:lang w:eastAsia="zh-CN"/>
              </w:rPr>
              <w:t>，总悬浮颗粒物</w:t>
            </w:r>
            <w:r>
              <w:rPr>
                <w:rFonts w:hint="default" w:ascii="Times New Roman" w:hAnsi="Times New Roman" w:eastAsia="宋体" w:cs="Times New Roman"/>
                <w:color w:val="auto"/>
                <w:sz w:val="24"/>
                <w:highlight w:val="none"/>
                <w:lang w:val="en-US" w:eastAsia="zh-CN"/>
              </w:rPr>
              <w:t>监测结果无超标现象，达到了《环境空气质量标准》（GB3095-2026）</w:t>
            </w:r>
            <w:r>
              <w:rPr>
                <w:rFonts w:hint="eastAsia" w:cs="Times New Roman"/>
                <w:color w:val="auto"/>
                <w:sz w:val="24"/>
                <w:highlight w:val="none"/>
                <w:lang w:val="en-US" w:eastAsia="zh-CN"/>
              </w:rPr>
              <w:t>中过渡阶段</w:t>
            </w:r>
            <w:r>
              <w:rPr>
                <w:rFonts w:hint="default" w:ascii="Times New Roman" w:hAnsi="Times New Roman" w:eastAsia="宋体" w:cs="Times New Roman"/>
                <w:color w:val="auto"/>
                <w:sz w:val="24"/>
                <w:highlight w:val="none"/>
                <w:lang w:val="en-US" w:eastAsia="zh-CN"/>
              </w:rPr>
              <w:t>二级标准要求</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2、地表水环境质量现状</w:t>
            </w:r>
          </w:p>
          <w:p>
            <w:pPr>
              <w:spacing w:line="360" w:lineRule="auto"/>
              <w:ind w:firstLine="480" w:firstLineChars="200"/>
              <w:rPr>
                <w:rFonts w:hint="default" w:ascii="Times New Roman" w:hAnsi="Times New Roman" w:eastAsia="宋体" w:cs="Times New Roman"/>
                <w:color w:val="auto"/>
                <w:kern w:val="0"/>
                <w:sz w:val="24"/>
                <w:szCs w:val="24"/>
                <w:highlight w:val="none"/>
                <w:u w:val="none" w:color="000000"/>
                <w:lang w:val="en-US" w:eastAsia="zh-CN" w:bidi="ar-SA"/>
              </w:rPr>
            </w:pPr>
            <w:r>
              <w:rPr>
                <w:rFonts w:hint="default" w:ascii="Times New Roman" w:hAnsi="Times New Roman" w:eastAsia="宋体" w:cs="Times New Roman"/>
                <w:color w:val="auto"/>
                <w:kern w:val="0"/>
                <w:sz w:val="24"/>
                <w:szCs w:val="24"/>
                <w:highlight w:val="none"/>
                <w:lang w:val="en-US" w:eastAsia="zh-CN"/>
              </w:rPr>
              <w:t>根据《2025年黑龙江省生态环境质量状况》，伊春市参与国家考核计算的断面共11个，Ⅰ~Ⅲ类水质比例为63.6%，无劣V类水质断面。与上年同期相比，Ⅰ~Ⅲ类水质比例上升9.1个百分点，均无劣V类水质断面。伊春市饮用水水源地扣除自然本底因素影响后水量达标率为100%。</w:t>
            </w:r>
            <w:r>
              <w:rPr>
                <w:rFonts w:hint="default" w:ascii="Times New Roman" w:hAnsi="Times New Roman" w:eastAsia="宋体" w:cs="Times New Roman"/>
                <w:color w:val="auto"/>
                <w:kern w:val="0"/>
                <w:sz w:val="24"/>
                <w:szCs w:val="24"/>
                <w:highlight w:val="none"/>
                <w:u w:val="none" w:color="000000"/>
                <w:lang w:val="en-US" w:eastAsia="zh-CN" w:bidi="ar-SA"/>
              </w:rPr>
              <w:t>本项目所在区域地表水体为</w:t>
            </w:r>
            <w:r>
              <w:rPr>
                <w:rFonts w:hint="eastAsia" w:cs="Times New Roman"/>
                <w:color w:val="auto"/>
                <w:kern w:val="0"/>
                <w:sz w:val="24"/>
                <w:szCs w:val="24"/>
                <w:highlight w:val="none"/>
                <w:u w:val="none" w:color="000000"/>
                <w:lang w:val="en-US" w:eastAsia="zh-CN" w:bidi="ar-SA"/>
              </w:rPr>
              <w:t>结烈河</w:t>
            </w:r>
            <w:r>
              <w:rPr>
                <w:rFonts w:hint="default" w:ascii="Times New Roman" w:hAnsi="Times New Roman" w:eastAsia="宋体" w:cs="Times New Roman"/>
                <w:color w:val="auto"/>
                <w:kern w:val="0"/>
                <w:sz w:val="24"/>
                <w:szCs w:val="24"/>
                <w:highlight w:val="none"/>
                <w:u w:val="none" w:color="000000"/>
                <w:lang w:val="en-US" w:eastAsia="zh-CN" w:bidi="ar-SA"/>
              </w:rPr>
              <w:t>，</w:t>
            </w:r>
            <w:r>
              <w:rPr>
                <w:rFonts w:hint="eastAsia" w:cs="Times New Roman"/>
                <w:color w:val="auto"/>
                <w:kern w:val="0"/>
                <w:sz w:val="24"/>
                <w:szCs w:val="24"/>
                <w:highlight w:val="none"/>
                <w:u w:val="none" w:color="000000"/>
                <w:lang w:val="en-US" w:eastAsia="zh-CN" w:bidi="ar-SA"/>
              </w:rPr>
              <w:t>位于本项目东侧0.13km，结烈河为黑龙江支流，无地表水体划分，因此本项目地表水质现状参照</w:t>
            </w:r>
            <w:r>
              <w:rPr>
                <w:rFonts w:hint="default" w:ascii="Times New Roman" w:hAnsi="Times New Roman" w:eastAsia="宋体" w:cs="Times New Roman"/>
                <w:color w:val="auto"/>
                <w:kern w:val="0"/>
                <w:sz w:val="24"/>
                <w:szCs w:val="24"/>
                <w:highlight w:val="none"/>
                <w:u w:val="none" w:color="000000"/>
                <w:lang w:val="en-US" w:eastAsia="zh-CN" w:bidi="ar-SA"/>
              </w:rPr>
              <w:t>黑龙江干流嘉荫断面，</w:t>
            </w:r>
            <w:r>
              <w:rPr>
                <w:rFonts w:hint="eastAsia" w:cs="Times New Roman"/>
                <w:color w:val="auto"/>
                <w:kern w:val="0"/>
                <w:sz w:val="24"/>
                <w:szCs w:val="24"/>
                <w:highlight w:val="none"/>
                <w:u w:val="none" w:color="000000"/>
                <w:lang w:val="en-US" w:eastAsia="zh-CN" w:bidi="ar-SA"/>
              </w:rPr>
              <w:t>黑龙江干流嘉荫段面水功能区类别为Ⅳ类水体，执行</w:t>
            </w:r>
            <w:r>
              <w:rPr>
                <w:rFonts w:hint="default" w:ascii="Times New Roman" w:hAnsi="Times New Roman" w:eastAsia="宋体" w:cs="Times New Roman"/>
                <w:color w:val="auto"/>
                <w:kern w:val="0"/>
                <w:sz w:val="24"/>
                <w:szCs w:val="24"/>
                <w:highlight w:val="none"/>
                <w:u w:val="none" w:color="000000"/>
                <w:lang w:val="en-US" w:eastAsia="zh-CN" w:bidi="ar-SA"/>
              </w:rPr>
              <w:t>《地表水环境质量标准》（GB3838-2002）</w:t>
            </w:r>
            <w:r>
              <w:rPr>
                <w:rFonts w:hint="default" w:ascii="Times New Roman" w:hAnsi="Times New Roman" w:cs="Times New Roman"/>
                <w:color w:val="auto"/>
                <w:kern w:val="0"/>
                <w:sz w:val="24"/>
                <w:szCs w:val="24"/>
                <w:highlight w:val="none"/>
                <w:u w:val="none" w:color="000000"/>
                <w:lang w:val="en-US" w:eastAsia="zh-CN" w:bidi="ar-SA"/>
              </w:rPr>
              <w:t>Ⅳ类标准</w:t>
            </w:r>
            <w:r>
              <w:rPr>
                <w:rFonts w:hint="default" w:ascii="Times New Roman" w:hAnsi="Times New Roman" w:eastAsia="宋体" w:cs="Times New Roman"/>
                <w:color w:val="auto"/>
                <w:kern w:val="0"/>
                <w:sz w:val="24"/>
                <w:szCs w:val="24"/>
                <w:highlight w:val="none"/>
                <w:u w:val="none" w:color="000000"/>
                <w:lang w:val="en-US" w:eastAsia="zh-CN" w:bidi="ar-SA"/>
              </w:rPr>
              <w:t>要求</w:t>
            </w:r>
            <w:r>
              <w:rPr>
                <w:rFonts w:hint="eastAsia" w:cs="Times New Roman"/>
                <w:color w:val="auto"/>
                <w:kern w:val="0"/>
                <w:sz w:val="24"/>
                <w:szCs w:val="24"/>
                <w:highlight w:val="none"/>
                <w:u w:val="none" w:color="000000"/>
                <w:lang w:val="en-US" w:eastAsia="zh-CN" w:bidi="ar-SA"/>
              </w:rPr>
              <w:t>，</w:t>
            </w:r>
            <w:r>
              <w:rPr>
                <w:rFonts w:hint="default" w:ascii="Times New Roman" w:hAnsi="Times New Roman" w:eastAsia="宋体" w:cs="Times New Roman"/>
                <w:color w:val="auto"/>
                <w:kern w:val="0"/>
                <w:sz w:val="24"/>
                <w:szCs w:val="24"/>
                <w:highlight w:val="none"/>
                <w:lang w:val="en-US" w:eastAsia="zh-CN"/>
              </w:rPr>
              <w:t>根据《2025年黑龙江省生态环境质量状况》，</w:t>
            </w:r>
            <w:r>
              <w:rPr>
                <w:rFonts w:hint="default" w:ascii="Times New Roman" w:hAnsi="Times New Roman" w:eastAsia="宋体" w:cs="Times New Roman"/>
                <w:color w:val="auto"/>
                <w:kern w:val="0"/>
                <w:sz w:val="24"/>
                <w:szCs w:val="24"/>
                <w:highlight w:val="none"/>
                <w:u w:val="none" w:color="000000"/>
                <w:lang w:val="en-US" w:eastAsia="zh-CN" w:bidi="ar-SA"/>
              </w:rPr>
              <w:t>黑龙江干流嘉荫断面为</w:t>
            </w:r>
            <w:r>
              <w:rPr>
                <w:rFonts w:hint="default" w:ascii="Times New Roman" w:hAnsi="Times New Roman" w:cs="Times New Roman"/>
                <w:color w:val="auto"/>
                <w:kern w:val="0"/>
                <w:sz w:val="24"/>
                <w:szCs w:val="24"/>
                <w:highlight w:val="none"/>
                <w:u w:val="none" w:color="000000"/>
                <w:lang w:val="en-US" w:eastAsia="zh-CN" w:bidi="ar-SA"/>
              </w:rPr>
              <w:t>Ⅴ</w:t>
            </w:r>
            <w:r>
              <w:rPr>
                <w:rFonts w:hint="default" w:ascii="Times New Roman" w:hAnsi="Times New Roman" w:eastAsia="宋体" w:cs="Times New Roman"/>
                <w:color w:val="auto"/>
                <w:kern w:val="0"/>
                <w:sz w:val="24"/>
                <w:szCs w:val="24"/>
                <w:highlight w:val="none"/>
                <w:u w:val="none" w:color="000000"/>
                <w:lang w:val="en-US" w:eastAsia="zh-CN" w:bidi="ar-SA"/>
              </w:rPr>
              <w:t>类水体</w:t>
            </w:r>
            <w:r>
              <w:rPr>
                <w:rFonts w:hint="eastAsia" w:cs="Times New Roman"/>
                <w:color w:val="auto"/>
                <w:kern w:val="0"/>
                <w:sz w:val="24"/>
                <w:szCs w:val="24"/>
                <w:highlight w:val="none"/>
                <w:u w:val="none" w:color="000000"/>
                <w:lang w:val="en-US" w:eastAsia="zh-CN" w:bidi="ar-SA"/>
              </w:rPr>
              <w:t>，超标因子为化学需氧量和高锰酸盐指数，</w:t>
            </w:r>
            <w:r>
              <w:rPr>
                <w:rFonts w:hint="default" w:ascii="Times New Roman" w:hAnsi="Times New Roman" w:eastAsia="宋体" w:cs="Times New Roman"/>
                <w:color w:val="auto"/>
                <w:kern w:val="0"/>
                <w:sz w:val="24"/>
                <w:szCs w:val="24"/>
                <w:highlight w:val="none"/>
                <w:u w:val="none" w:color="000000"/>
                <w:lang w:val="en-US" w:eastAsia="zh-CN" w:bidi="ar-SA"/>
              </w:rPr>
              <w:t>该监测断面202</w:t>
            </w:r>
            <w:r>
              <w:rPr>
                <w:rFonts w:hint="default" w:ascii="Times New Roman" w:hAnsi="Times New Roman" w:cs="Times New Roman"/>
                <w:color w:val="auto"/>
                <w:kern w:val="0"/>
                <w:sz w:val="24"/>
                <w:szCs w:val="24"/>
                <w:highlight w:val="none"/>
                <w:u w:val="none" w:color="000000"/>
                <w:lang w:val="en-US" w:eastAsia="zh-CN" w:bidi="ar-SA"/>
              </w:rPr>
              <w:t>5</w:t>
            </w:r>
            <w:r>
              <w:rPr>
                <w:rFonts w:hint="default" w:ascii="Times New Roman" w:hAnsi="Times New Roman" w:eastAsia="宋体" w:cs="Times New Roman"/>
                <w:color w:val="auto"/>
                <w:kern w:val="0"/>
                <w:sz w:val="24"/>
                <w:szCs w:val="24"/>
                <w:highlight w:val="none"/>
                <w:u w:val="none" w:color="000000"/>
                <w:lang w:val="en-US" w:eastAsia="zh-CN" w:bidi="ar-SA"/>
              </w:rPr>
              <w:t>年水质现状</w:t>
            </w:r>
            <w:r>
              <w:rPr>
                <w:rFonts w:hint="eastAsia" w:cs="Times New Roman"/>
                <w:color w:val="auto"/>
                <w:kern w:val="0"/>
                <w:sz w:val="24"/>
                <w:szCs w:val="24"/>
                <w:highlight w:val="none"/>
                <w:u w:val="none" w:color="000000"/>
                <w:lang w:val="en-US" w:eastAsia="zh-CN" w:bidi="ar-SA"/>
              </w:rPr>
              <w:t>不</w:t>
            </w:r>
            <w:r>
              <w:rPr>
                <w:rFonts w:hint="default" w:ascii="Times New Roman" w:hAnsi="Times New Roman" w:eastAsia="宋体" w:cs="Times New Roman"/>
                <w:color w:val="auto"/>
                <w:kern w:val="0"/>
                <w:sz w:val="24"/>
                <w:szCs w:val="24"/>
                <w:highlight w:val="none"/>
                <w:u w:val="none" w:color="000000"/>
                <w:lang w:val="en-US" w:eastAsia="zh-CN" w:bidi="ar-SA"/>
              </w:rPr>
              <w:t>满足《地表水环境质量标准》（GB3838-2002）</w:t>
            </w:r>
            <w:r>
              <w:rPr>
                <w:rFonts w:hint="default" w:ascii="Times New Roman" w:hAnsi="Times New Roman" w:cs="Times New Roman"/>
                <w:color w:val="auto"/>
                <w:kern w:val="0"/>
                <w:sz w:val="24"/>
                <w:szCs w:val="24"/>
                <w:highlight w:val="none"/>
                <w:u w:val="none" w:color="000000"/>
                <w:lang w:val="en-US" w:eastAsia="zh-CN" w:bidi="ar-SA"/>
              </w:rPr>
              <w:t>Ⅳ类标准</w:t>
            </w:r>
            <w:r>
              <w:rPr>
                <w:rFonts w:hint="default" w:ascii="Times New Roman" w:hAnsi="Times New Roman" w:eastAsia="宋体" w:cs="Times New Roman"/>
                <w:color w:val="auto"/>
                <w:kern w:val="0"/>
                <w:sz w:val="24"/>
                <w:szCs w:val="24"/>
                <w:highlight w:val="none"/>
                <w:u w:val="none" w:color="000000"/>
                <w:lang w:val="en-US" w:eastAsia="zh-CN" w:bidi="ar-SA"/>
              </w:rPr>
              <w:t>要求</w:t>
            </w:r>
            <w:r>
              <w:rPr>
                <w:rFonts w:hint="eastAsia" w:cs="Times New Roman"/>
                <w:color w:val="auto"/>
                <w:kern w:val="0"/>
                <w:sz w:val="24"/>
                <w:szCs w:val="24"/>
                <w:highlight w:val="none"/>
                <w:u w:val="none" w:color="000000"/>
                <w:lang w:val="en-US" w:eastAsia="zh-CN" w:bidi="ar-SA"/>
              </w:rPr>
              <w:t>，超标原因是融雪化冰期和夏汛期间受本底值影响，扣除本底值后，</w:t>
            </w:r>
            <w:r>
              <w:rPr>
                <w:rFonts w:hint="default" w:ascii="Times New Roman" w:hAnsi="Times New Roman" w:eastAsia="宋体" w:cs="Times New Roman"/>
                <w:color w:val="auto"/>
                <w:kern w:val="0"/>
                <w:sz w:val="24"/>
                <w:szCs w:val="24"/>
                <w:highlight w:val="none"/>
                <w:u w:val="none" w:color="000000"/>
                <w:lang w:val="en-US" w:eastAsia="zh-CN" w:bidi="ar-SA"/>
              </w:rPr>
              <w:t>黑龙江干流嘉荫断面</w:t>
            </w:r>
            <w:r>
              <w:rPr>
                <w:rFonts w:hint="eastAsia" w:cs="Times New Roman"/>
                <w:color w:val="auto"/>
                <w:kern w:val="0"/>
                <w:sz w:val="24"/>
                <w:szCs w:val="24"/>
                <w:highlight w:val="none"/>
                <w:u w:val="none" w:color="000000"/>
                <w:lang w:val="en-US" w:eastAsia="zh-CN" w:bidi="ar-SA"/>
              </w:rPr>
              <w:t>满足</w:t>
            </w:r>
            <w:r>
              <w:rPr>
                <w:rFonts w:hint="default" w:ascii="Times New Roman" w:hAnsi="Times New Roman" w:eastAsia="宋体" w:cs="Times New Roman"/>
                <w:color w:val="auto"/>
                <w:kern w:val="0"/>
                <w:sz w:val="24"/>
                <w:szCs w:val="24"/>
                <w:highlight w:val="none"/>
                <w:u w:val="none" w:color="000000"/>
                <w:lang w:val="en-US" w:eastAsia="zh-CN" w:bidi="ar-SA"/>
              </w:rPr>
              <w:t>《地表水环境质量标准》（GB3838-2002）</w:t>
            </w:r>
            <w:r>
              <w:rPr>
                <w:rFonts w:hint="default" w:ascii="Times New Roman" w:hAnsi="Times New Roman" w:cs="Times New Roman"/>
                <w:color w:val="auto"/>
                <w:kern w:val="0"/>
                <w:sz w:val="24"/>
                <w:szCs w:val="24"/>
                <w:highlight w:val="none"/>
                <w:u w:val="none" w:color="000000"/>
                <w:lang w:val="en-US" w:eastAsia="zh-CN" w:bidi="ar-SA"/>
              </w:rPr>
              <w:t>Ⅳ类标准</w:t>
            </w:r>
            <w:r>
              <w:rPr>
                <w:rFonts w:hint="default" w:ascii="Times New Roman" w:hAnsi="Times New Roman" w:eastAsia="宋体" w:cs="Times New Roman"/>
                <w:color w:val="auto"/>
                <w:kern w:val="0"/>
                <w:sz w:val="24"/>
                <w:szCs w:val="24"/>
                <w:highlight w:val="none"/>
                <w:u w:val="none" w:color="000000"/>
                <w:lang w:val="en-US" w:eastAsia="zh-CN" w:bidi="ar-SA"/>
              </w:rPr>
              <w:t>要求</w:t>
            </w:r>
            <w:r>
              <w:rPr>
                <w:rFonts w:hint="eastAsia" w:cs="Times New Roman"/>
                <w:color w:val="auto"/>
                <w:kern w:val="0"/>
                <w:sz w:val="24"/>
                <w:szCs w:val="24"/>
                <w:highlight w:val="none"/>
                <w:u w:val="none" w:color="000000"/>
                <w:lang w:val="en-US" w:eastAsia="zh-CN" w:bidi="ar-SA"/>
              </w:rPr>
              <w:t>。</w:t>
            </w:r>
          </w:p>
          <w:p>
            <w:pPr>
              <w:pStyle w:val="36"/>
              <w:rPr>
                <w:rFonts w:hint="default"/>
                <w:color w:val="auto"/>
                <w:lang w:val="en-US" w:eastAsia="zh-CN"/>
              </w:rPr>
            </w:pPr>
            <w:r>
              <w:rPr>
                <w:color w:val="auto"/>
                <w:sz w:val="24"/>
              </w:rPr>
              <mc:AlternateContent>
                <mc:Choice Requires="wps">
                  <w:drawing>
                    <wp:anchor distT="0" distB="0" distL="114300" distR="114300" simplePos="0" relativeHeight="251668480" behindDoc="0" locked="0" layoutInCell="1" allowOverlap="1">
                      <wp:simplePos x="0" y="0"/>
                      <wp:positionH relativeFrom="column">
                        <wp:posOffset>2753360</wp:posOffset>
                      </wp:positionH>
                      <wp:positionV relativeFrom="paragraph">
                        <wp:posOffset>1087755</wp:posOffset>
                      </wp:positionV>
                      <wp:extent cx="1531620" cy="279400"/>
                      <wp:effectExtent l="12700" t="12700" r="17780" b="793750"/>
                      <wp:wrapNone/>
                      <wp:docPr id="48" name="矩形标注 48"/>
                      <wp:cNvGraphicFramePr/>
                      <a:graphic xmlns:a="http://schemas.openxmlformats.org/drawingml/2006/main">
                        <a:graphicData uri="http://schemas.microsoft.com/office/word/2010/wordprocessingShape">
                          <wps:wsp>
                            <wps:cNvSpPr/>
                            <wps:spPr>
                              <a:xfrm>
                                <a:off x="4406900" y="2741930"/>
                                <a:ext cx="1531620" cy="279400"/>
                              </a:xfrm>
                              <a:prstGeom prst="wedgeRectCallout">
                                <a:avLst>
                                  <a:gd name="adj1" fmla="val -16749"/>
                                  <a:gd name="adj2" fmla="val 329318"/>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黑龙江干流嘉荫断面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16.8pt;margin-top:85.65pt;height:22pt;width:120.6pt;z-index:251668480;v-text-anchor:middle;mso-width-relative:page;mso-height-relative:page;" filled="f" stroked="t" coordsize="21600,21600" o:gfxdata="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ocbx02AAAAAsBAAAP&#10;AAAAAAAAAAEAIAAAACIAAABkcnMvZG93bnJldi54bWxQSwECFAAUAAAACACHTuJAWu6MtIoCAADk&#10;BAAADgAAAAAAAAABACAAAAAnAQAAZHJzL2Uyb0RvYy54bWxQSwUGAAAAAAYABgBZAQAAIwYAAAAA&#10;" adj="7182,81933">
                      <v:fill on="f" focussize="0,0"/>
                      <v:stroke weight="2pt" color="#000000 [3213]" joinstyle="round"/>
                      <v:imagedata o:title=""/>
                      <o:lock v:ext="edit" aspectratio="f"/>
                      <v:textbox>
                        <w:txbxContent>
                          <w:p>
                            <w:pPr>
                              <w:jc w:val="center"/>
                              <w:rPr>
                                <w:rFonts w:hint="eastAsia"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黑龙江干流嘉荫断面</w:t>
                            </w:r>
                          </w:p>
                        </w:txbxContent>
                      </v:textbox>
                    </v:shape>
                  </w:pict>
                </mc:Fallback>
              </mc:AlternateContent>
            </w:r>
            <w:r>
              <w:rPr>
                <w:color w:val="auto"/>
              </w:rPr>
              <w:drawing>
                <wp:inline distT="0" distB="0" distL="114300" distR="114300">
                  <wp:extent cx="5437505" cy="4919980"/>
                  <wp:effectExtent l="0" t="0" r="10795" b="13970"/>
                  <wp:docPr id="4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4"/>
                          <pic:cNvPicPr>
                            <a:picLocks noChangeAspect="1"/>
                          </pic:cNvPicPr>
                        </pic:nvPicPr>
                        <pic:blipFill>
                          <a:blip r:embed="rId20"/>
                          <a:stretch>
                            <a:fillRect/>
                          </a:stretch>
                        </pic:blipFill>
                        <pic:spPr>
                          <a:xfrm>
                            <a:off x="0" y="0"/>
                            <a:ext cx="5437505" cy="4919980"/>
                          </a:xfrm>
                          <a:prstGeom prst="rect">
                            <a:avLst/>
                          </a:prstGeom>
                          <a:noFill/>
                          <a:ln>
                            <a:noFill/>
                          </a:ln>
                        </pic:spPr>
                      </pic:pic>
                    </a:graphicData>
                  </a:graphic>
                </wp:inline>
              </w:drawing>
            </w:r>
          </w:p>
          <w:p>
            <w:pPr>
              <w:jc w:val="cente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eastAsia="zh-CN"/>
              </w:rPr>
              <w:t>图</w:t>
            </w:r>
            <w:r>
              <w:rPr>
                <w:rFonts w:hint="default" w:ascii="Times New Roman" w:hAnsi="Times New Roman" w:cs="Times New Roman"/>
                <w:b/>
                <w:bCs/>
                <w:color w:val="auto"/>
                <w:sz w:val="24"/>
                <w:szCs w:val="24"/>
                <w:lang w:val="en-US" w:eastAsia="zh-CN"/>
              </w:rPr>
              <w:t>3-</w:t>
            </w:r>
            <w:r>
              <w:rPr>
                <w:rFonts w:hint="eastAsia"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lang w:val="en-US" w:eastAsia="zh-CN"/>
              </w:rPr>
              <w:t xml:space="preserve"> </w:t>
            </w:r>
            <w:r>
              <w:rPr>
                <w:rFonts w:hint="eastAsia" w:ascii="Times New Roman" w:hAnsi="Times New Roman" w:cs="Times New Roman"/>
                <w:b/>
                <w:bCs/>
                <w:color w:val="auto"/>
                <w:sz w:val="24"/>
                <w:szCs w:val="24"/>
                <w:lang w:val="en-US" w:eastAsia="zh-CN"/>
              </w:rPr>
              <w:t>全省地表水水质状况示意图</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3、声环境质量现状</w:t>
            </w:r>
          </w:p>
          <w:p>
            <w:pPr>
              <w:spacing w:line="360" w:lineRule="auto"/>
              <w:ind w:firstLine="480" w:firstLineChars="200"/>
              <w:contextualSpacing/>
              <w:jc w:val="left"/>
              <w:rPr>
                <w:rFonts w:hint="default" w:eastAsia="宋体"/>
                <w:color w:val="auto"/>
                <w:lang w:val="en-US" w:eastAsia="zh-CN"/>
              </w:rPr>
            </w:pPr>
            <w:r>
              <w:rPr>
                <w:rFonts w:hint="eastAsia" w:cs="宋体"/>
                <w:color w:val="auto"/>
                <w:kern w:val="0"/>
                <w:sz w:val="24"/>
                <w:lang w:val="en-US" w:eastAsia="zh-CN"/>
              </w:rPr>
              <w:t>根据《建设项目环境影响报告表编制技术指南（污染影响类）（试行）》，厂</w:t>
            </w:r>
            <w:r>
              <w:rPr>
                <w:rFonts w:hint="eastAsia" w:cs="宋体"/>
                <w:color w:val="auto"/>
                <w:kern w:val="0"/>
                <w:sz w:val="24"/>
              </w:rPr>
              <w:t>界外周边50米范围内存在声环境保护目标的建设项目，应监测保护目标声环境质量现状并评价达标情况。</w:t>
            </w:r>
            <w:r>
              <w:rPr>
                <w:rFonts w:hint="eastAsia" w:cs="宋体"/>
                <w:color w:val="auto"/>
                <w:kern w:val="0"/>
                <w:sz w:val="24"/>
                <w:lang w:val="en-US" w:eastAsia="zh-CN"/>
              </w:rPr>
              <w:t>本项目厂界50m范围内无声环境保护目标。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749" w:hRule="atLeast"/>
          <w:jc w:val="center"/>
        </w:trPr>
        <w:tc>
          <w:tcPr>
            <w:tcW w:w="804" w:type="dxa"/>
            <w:noWrap w:val="0"/>
            <w:vAlign w:val="center"/>
          </w:tcPr>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环境</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保护</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 w:val="24"/>
                <w:szCs w:val="24"/>
              </w:rPr>
              <w:t>目标</w:t>
            </w:r>
          </w:p>
        </w:tc>
        <w:tc>
          <w:tcPr>
            <w:tcW w:w="8834" w:type="dxa"/>
            <w:noWrap w:val="0"/>
            <w:vAlign w:val="top"/>
          </w:tcPr>
          <w:p>
            <w:pPr>
              <w:numPr>
                <w:ilvl w:val="0"/>
                <w:numId w:val="0"/>
              </w:numPr>
              <w:spacing w:line="360" w:lineRule="auto"/>
              <w:ind w:firstLine="498" w:firstLineChars="200"/>
              <w:rPr>
                <w:b/>
                <w:bCs/>
                <w:color w:val="auto"/>
                <w:spacing w:val="4"/>
                <w:sz w:val="24"/>
              </w:rPr>
            </w:pPr>
            <w:r>
              <w:rPr>
                <w:b/>
                <w:bCs/>
                <w:color w:val="auto"/>
                <w:spacing w:val="4"/>
                <w:kern w:val="2"/>
                <w:sz w:val="24"/>
                <w:szCs w:val="24"/>
                <w:lang w:val="en-US" w:eastAsia="zh-CN" w:bidi="ar-SA"/>
              </w:rPr>
              <w:t>1、</w:t>
            </w:r>
            <w:r>
              <w:rPr>
                <w:b/>
                <w:bCs/>
                <w:color w:val="auto"/>
                <w:spacing w:val="4"/>
                <w:sz w:val="24"/>
              </w:rPr>
              <w:t>环境空气保护目标</w:t>
            </w:r>
          </w:p>
          <w:p>
            <w:pPr>
              <w:spacing w:line="360" w:lineRule="auto"/>
              <w:ind w:firstLine="496" w:firstLineChars="200"/>
              <w:jc w:val="left"/>
              <w:rPr>
                <w:color w:val="auto"/>
                <w:spacing w:val="4"/>
                <w:sz w:val="24"/>
              </w:rPr>
            </w:pPr>
            <w:r>
              <w:rPr>
                <w:color w:val="auto"/>
                <w:spacing w:val="4"/>
                <w:sz w:val="24"/>
              </w:rPr>
              <w:t>本项目厂界</w:t>
            </w:r>
            <w:r>
              <w:rPr>
                <w:rFonts w:hint="eastAsia"/>
                <w:color w:val="auto"/>
                <w:spacing w:val="4"/>
                <w:sz w:val="24"/>
              </w:rPr>
              <w:t>外</w:t>
            </w:r>
            <w:r>
              <w:rPr>
                <w:color w:val="auto"/>
                <w:spacing w:val="4"/>
                <w:sz w:val="24"/>
              </w:rPr>
              <w:t>500米范围内</w:t>
            </w:r>
            <w:r>
              <w:rPr>
                <w:rFonts w:hint="eastAsia"/>
                <w:color w:val="auto"/>
                <w:spacing w:val="4"/>
                <w:sz w:val="24"/>
              </w:rPr>
              <w:t>无</w:t>
            </w:r>
            <w:r>
              <w:rPr>
                <w:color w:val="auto"/>
                <w:spacing w:val="4"/>
                <w:sz w:val="24"/>
              </w:rPr>
              <w:t>自然保护区、风景名胜区，主要环境保护目标为</w:t>
            </w:r>
            <w:r>
              <w:rPr>
                <w:rFonts w:hint="eastAsia"/>
                <w:color w:val="auto"/>
                <w:spacing w:val="4"/>
                <w:sz w:val="24"/>
                <w:lang w:val="en-US" w:eastAsia="zh-CN"/>
              </w:rPr>
              <w:t>稻田村居民</w:t>
            </w:r>
            <w:r>
              <w:rPr>
                <w:color w:val="auto"/>
                <w:spacing w:val="4"/>
                <w:sz w:val="24"/>
              </w:rPr>
              <w:t>，环境空气保护目标详见下表。</w:t>
            </w:r>
          </w:p>
          <w:p>
            <w:pPr>
              <w:pStyle w:val="102"/>
              <w:numPr>
                <w:ilvl w:val="0"/>
                <w:numId w:val="0"/>
              </w:numPr>
              <w:adjustRightInd/>
              <w:snapToGrid/>
              <w:spacing w:line="240" w:lineRule="auto"/>
              <w:ind w:left="0" w:leftChars="0" w:firstLine="0" w:firstLineChars="0"/>
              <w:rPr>
                <w:color w:val="auto"/>
              </w:rPr>
            </w:pPr>
            <w:r>
              <w:rPr>
                <w:rFonts w:hint="eastAsia"/>
                <w:b/>
                <w:bCs/>
                <w:color w:val="auto"/>
                <w:kern w:val="0"/>
                <w:sz w:val="24"/>
                <w:szCs w:val="21"/>
                <w:lang w:val="en-US" w:eastAsia="zh-CN" w:bidi="ar-SA"/>
              </w:rPr>
              <w:t>表3-5</w:t>
            </w:r>
            <w:r>
              <w:rPr>
                <w:rFonts w:hint="eastAsia"/>
                <w:b/>
                <w:color w:val="auto"/>
                <w:szCs w:val="24"/>
              </w:rPr>
              <w:t xml:space="preserve">   </w:t>
            </w:r>
            <w:r>
              <w:rPr>
                <w:b/>
                <w:color w:val="auto"/>
                <w:szCs w:val="24"/>
              </w:rPr>
              <w:t xml:space="preserve">   </w:t>
            </w:r>
            <w:r>
              <w:rPr>
                <w:rFonts w:hint="eastAsia"/>
                <w:b/>
                <w:color w:val="auto"/>
                <w:szCs w:val="24"/>
              </w:rPr>
              <w:t>环境</w:t>
            </w:r>
            <w:r>
              <w:rPr>
                <w:rFonts w:hint="eastAsia"/>
                <w:b/>
                <w:color w:val="auto"/>
                <w:szCs w:val="24"/>
                <w:lang w:val="en-US" w:eastAsia="zh-CN"/>
              </w:rPr>
              <w:t>空气</w:t>
            </w:r>
            <w:r>
              <w:rPr>
                <w:rFonts w:hint="eastAsia"/>
                <w:b/>
                <w:color w:val="auto"/>
                <w:szCs w:val="24"/>
              </w:rPr>
              <w:t>保护目标一览表</w:t>
            </w:r>
          </w:p>
          <w:tbl>
            <w:tblPr>
              <w:tblStyle w:val="30"/>
              <w:tblW w:w="8618"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1509"/>
              <w:gridCol w:w="1464"/>
              <w:gridCol w:w="893"/>
              <w:gridCol w:w="731"/>
              <w:gridCol w:w="1026"/>
              <w:gridCol w:w="876"/>
              <w:gridCol w:w="94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173" w:type="dxa"/>
                  <w:vMerge w:val="restart"/>
                  <w:noWrap w:val="0"/>
                  <w:vAlign w:val="center"/>
                </w:tcPr>
                <w:p>
                  <w:pPr>
                    <w:pStyle w:val="57"/>
                    <w:spacing w:before="24" w:after="24" w:line="240" w:lineRule="auto"/>
                    <w:ind w:left="-3" w:firstLine="3"/>
                    <w:rPr>
                      <w:rFonts w:ascii="Times New Roman"/>
                      <w:color w:val="auto"/>
                      <w:szCs w:val="21"/>
                    </w:rPr>
                  </w:pPr>
                  <w:r>
                    <w:rPr>
                      <w:rFonts w:ascii="Times New Roman"/>
                      <w:color w:val="auto"/>
                      <w:szCs w:val="21"/>
                    </w:rPr>
                    <w:t>名称</w:t>
                  </w:r>
                </w:p>
              </w:tc>
              <w:tc>
                <w:tcPr>
                  <w:tcW w:w="2973" w:type="dxa"/>
                  <w:gridSpan w:val="2"/>
                  <w:noWrap w:val="0"/>
                  <w:vAlign w:val="center"/>
                </w:tcPr>
                <w:p>
                  <w:pPr>
                    <w:pStyle w:val="57"/>
                    <w:spacing w:before="24" w:after="24" w:line="240" w:lineRule="auto"/>
                    <w:ind w:left="-3" w:firstLine="3"/>
                    <w:rPr>
                      <w:rFonts w:ascii="Times New Roman"/>
                      <w:color w:val="auto"/>
                      <w:szCs w:val="21"/>
                    </w:rPr>
                  </w:pPr>
                  <w:r>
                    <w:rPr>
                      <w:rFonts w:ascii="Times New Roman"/>
                      <w:color w:val="auto"/>
                      <w:szCs w:val="21"/>
                    </w:rPr>
                    <w:t>坐标</w:t>
                  </w:r>
                </w:p>
              </w:tc>
              <w:tc>
                <w:tcPr>
                  <w:tcW w:w="893" w:type="dxa"/>
                  <w:vMerge w:val="restart"/>
                  <w:noWrap w:val="0"/>
                  <w:vAlign w:val="center"/>
                </w:tcPr>
                <w:p>
                  <w:pPr>
                    <w:pStyle w:val="57"/>
                    <w:spacing w:before="24" w:after="24" w:line="240" w:lineRule="auto"/>
                    <w:ind w:left="-3" w:firstLine="3"/>
                    <w:rPr>
                      <w:rFonts w:ascii="Times New Roman"/>
                      <w:color w:val="auto"/>
                      <w:szCs w:val="21"/>
                    </w:rPr>
                  </w:pPr>
                  <w:r>
                    <w:rPr>
                      <w:rFonts w:ascii="Times New Roman"/>
                      <w:color w:val="auto"/>
                      <w:szCs w:val="21"/>
                    </w:rPr>
                    <w:t>保护</w:t>
                  </w:r>
                </w:p>
                <w:p>
                  <w:pPr>
                    <w:pStyle w:val="57"/>
                    <w:spacing w:before="24" w:after="24" w:line="240" w:lineRule="auto"/>
                    <w:ind w:left="-3" w:firstLine="3"/>
                    <w:rPr>
                      <w:rFonts w:ascii="Times New Roman"/>
                      <w:color w:val="auto"/>
                      <w:szCs w:val="21"/>
                    </w:rPr>
                  </w:pPr>
                  <w:r>
                    <w:rPr>
                      <w:rFonts w:ascii="Times New Roman"/>
                      <w:color w:val="auto"/>
                      <w:szCs w:val="21"/>
                    </w:rPr>
                    <w:t>对象</w:t>
                  </w:r>
                </w:p>
              </w:tc>
              <w:tc>
                <w:tcPr>
                  <w:tcW w:w="731" w:type="dxa"/>
                  <w:vMerge w:val="restart"/>
                  <w:noWrap w:val="0"/>
                  <w:vAlign w:val="center"/>
                </w:tcPr>
                <w:p>
                  <w:pPr>
                    <w:pStyle w:val="57"/>
                    <w:spacing w:before="24" w:after="24" w:line="240" w:lineRule="auto"/>
                    <w:ind w:left="-3" w:firstLine="3"/>
                    <w:rPr>
                      <w:rFonts w:ascii="Times New Roman"/>
                      <w:color w:val="auto"/>
                      <w:szCs w:val="21"/>
                    </w:rPr>
                  </w:pPr>
                  <w:r>
                    <w:rPr>
                      <w:rFonts w:ascii="Times New Roman"/>
                      <w:color w:val="auto"/>
                      <w:szCs w:val="21"/>
                    </w:rPr>
                    <w:t>保护</w:t>
                  </w:r>
                </w:p>
                <w:p>
                  <w:pPr>
                    <w:pStyle w:val="57"/>
                    <w:spacing w:before="24" w:after="24" w:line="240" w:lineRule="auto"/>
                    <w:ind w:left="-3" w:firstLine="3"/>
                    <w:rPr>
                      <w:rFonts w:ascii="Times New Roman"/>
                      <w:color w:val="auto"/>
                      <w:szCs w:val="21"/>
                    </w:rPr>
                  </w:pPr>
                  <w:r>
                    <w:rPr>
                      <w:rFonts w:ascii="Times New Roman"/>
                      <w:color w:val="auto"/>
                      <w:szCs w:val="21"/>
                    </w:rPr>
                    <w:t>内容</w:t>
                  </w:r>
                </w:p>
              </w:tc>
              <w:tc>
                <w:tcPr>
                  <w:tcW w:w="1026" w:type="dxa"/>
                  <w:vMerge w:val="restart"/>
                  <w:noWrap w:val="0"/>
                  <w:vAlign w:val="center"/>
                </w:tcPr>
                <w:p>
                  <w:pPr>
                    <w:pStyle w:val="57"/>
                    <w:spacing w:before="24" w:after="24" w:line="240" w:lineRule="auto"/>
                    <w:ind w:left="-3" w:firstLine="3"/>
                    <w:rPr>
                      <w:rFonts w:ascii="Times New Roman"/>
                      <w:color w:val="auto"/>
                      <w:szCs w:val="21"/>
                    </w:rPr>
                  </w:pPr>
                  <w:r>
                    <w:rPr>
                      <w:rFonts w:ascii="Times New Roman"/>
                      <w:color w:val="auto"/>
                      <w:szCs w:val="21"/>
                    </w:rPr>
                    <w:t>环境</w:t>
                  </w:r>
                </w:p>
                <w:p>
                  <w:pPr>
                    <w:pStyle w:val="57"/>
                    <w:spacing w:before="24" w:after="24" w:line="240" w:lineRule="auto"/>
                    <w:ind w:left="-3" w:firstLine="3"/>
                    <w:rPr>
                      <w:rFonts w:ascii="Times New Roman"/>
                      <w:color w:val="auto"/>
                      <w:szCs w:val="21"/>
                    </w:rPr>
                  </w:pPr>
                  <w:r>
                    <w:rPr>
                      <w:rFonts w:ascii="Times New Roman"/>
                      <w:color w:val="auto"/>
                      <w:szCs w:val="21"/>
                    </w:rPr>
                    <w:t>功能区</w:t>
                  </w:r>
                </w:p>
              </w:tc>
              <w:tc>
                <w:tcPr>
                  <w:tcW w:w="876" w:type="dxa"/>
                  <w:vMerge w:val="restart"/>
                  <w:noWrap w:val="0"/>
                  <w:vAlign w:val="center"/>
                </w:tcPr>
                <w:p>
                  <w:pPr>
                    <w:rPr>
                      <w:color w:val="auto"/>
                    </w:rPr>
                  </w:pPr>
                  <w:r>
                    <w:rPr>
                      <w:color w:val="auto"/>
                    </w:rPr>
                    <w:t>相对厂址方位</w:t>
                  </w:r>
                </w:p>
              </w:tc>
              <w:tc>
                <w:tcPr>
                  <w:tcW w:w="946" w:type="dxa"/>
                  <w:vMerge w:val="restart"/>
                  <w:noWrap w:val="0"/>
                  <w:vAlign w:val="center"/>
                </w:tcPr>
                <w:p>
                  <w:pPr>
                    <w:rPr>
                      <w:rFonts w:hint="eastAsia" w:eastAsia="宋体"/>
                      <w:color w:val="auto"/>
                      <w:lang w:val="en-US" w:eastAsia="zh-CN"/>
                    </w:rPr>
                  </w:pPr>
                  <w:r>
                    <w:rPr>
                      <w:color w:val="auto"/>
                    </w:rPr>
                    <w:t>相对厂界距离</w:t>
                  </w:r>
                  <w:r>
                    <w:rPr>
                      <w:rFonts w:hint="eastAsia"/>
                      <w:color w:val="auto"/>
                      <w:lang w:val="en-US" w:eastAsia="zh-CN"/>
                    </w:rPr>
                    <w:t>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173" w:type="dxa"/>
                  <w:vMerge w:val="continue"/>
                  <w:noWrap w:val="0"/>
                  <w:vAlign w:val="center"/>
                </w:tcPr>
                <w:p>
                  <w:pPr>
                    <w:pStyle w:val="57"/>
                    <w:spacing w:before="24" w:after="24" w:line="240" w:lineRule="auto"/>
                    <w:ind w:left="-3"/>
                    <w:rPr>
                      <w:rFonts w:ascii="Times New Roman"/>
                      <w:bCs/>
                      <w:color w:val="auto"/>
                      <w:szCs w:val="21"/>
                    </w:rPr>
                  </w:pPr>
                </w:p>
              </w:tc>
              <w:tc>
                <w:tcPr>
                  <w:tcW w:w="1509" w:type="dxa"/>
                  <w:noWrap w:val="0"/>
                  <w:vAlign w:val="center"/>
                </w:tcPr>
                <w:p>
                  <w:pPr>
                    <w:pStyle w:val="57"/>
                    <w:adjustRightInd/>
                    <w:snapToGrid/>
                    <w:spacing w:beforeLines="0" w:afterLines="0" w:line="240" w:lineRule="auto"/>
                    <w:rPr>
                      <w:rFonts w:ascii="Times New Roman"/>
                      <w:color w:val="auto"/>
                      <w:szCs w:val="21"/>
                    </w:rPr>
                  </w:pPr>
                  <w:r>
                    <w:rPr>
                      <w:rFonts w:ascii="Times New Roman"/>
                      <w:color w:val="auto"/>
                      <w:szCs w:val="21"/>
                    </w:rPr>
                    <w:t>X</w:t>
                  </w:r>
                </w:p>
              </w:tc>
              <w:tc>
                <w:tcPr>
                  <w:tcW w:w="1464" w:type="dxa"/>
                  <w:noWrap w:val="0"/>
                  <w:vAlign w:val="center"/>
                </w:tcPr>
                <w:p>
                  <w:pPr>
                    <w:pStyle w:val="57"/>
                    <w:adjustRightInd/>
                    <w:snapToGrid/>
                    <w:spacing w:beforeLines="0" w:afterLines="0" w:line="240" w:lineRule="auto"/>
                    <w:rPr>
                      <w:rFonts w:ascii="Times New Roman"/>
                      <w:color w:val="auto"/>
                      <w:szCs w:val="21"/>
                    </w:rPr>
                  </w:pPr>
                  <w:r>
                    <w:rPr>
                      <w:rFonts w:ascii="Times New Roman"/>
                      <w:color w:val="auto"/>
                      <w:szCs w:val="21"/>
                    </w:rPr>
                    <w:t>Y</w:t>
                  </w:r>
                </w:p>
              </w:tc>
              <w:tc>
                <w:tcPr>
                  <w:tcW w:w="893" w:type="dxa"/>
                  <w:vMerge w:val="continue"/>
                  <w:noWrap w:val="0"/>
                  <w:vAlign w:val="center"/>
                </w:tcPr>
                <w:p>
                  <w:pPr>
                    <w:rPr>
                      <w:color w:val="auto"/>
                      <w:szCs w:val="21"/>
                    </w:rPr>
                  </w:pPr>
                </w:p>
              </w:tc>
              <w:tc>
                <w:tcPr>
                  <w:tcW w:w="731" w:type="dxa"/>
                  <w:vMerge w:val="continue"/>
                  <w:noWrap w:val="0"/>
                  <w:vAlign w:val="center"/>
                </w:tcPr>
                <w:p>
                  <w:pPr>
                    <w:rPr>
                      <w:color w:val="auto"/>
                      <w:szCs w:val="21"/>
                    </w:rPr>
                  </w:pPr>
                </w:p>
              </w:tc>
              <w:tc>
                <w:tcPr>
                  <w:tcW w:w="1026" w:type="dxa"/>
                  <w:vMerge w:val="continue"/>
                  <w:noWrap w:val="0"/>
                  <w:vAlign w:val="center"/>
                </w:tcPr>
                <w:p>
                  <w:pPr>
                    <w:rPr>
                      <w:color w:val="auto"/>
                      <w:szCs w:val="21"/>
                    </w:rPr>
                  </w:pPr>
                </w:p>
              </w:tc>
              <w:tc>
                <w:tcPr>
                  <w:tcW w:w="876" w:type="dxa"/>
                  <w:vMerge w:val="continue"/>
                  <w:noWrap w:val="0"/>
                  <w:vAlign w:val="center"/>
                </w:tcPr>
                <w:p>
                  <w:pPr>
                    <w:rPr>
                      <w:color w:val="auto"/>
                      <w:szCs w:val="21"/>
                    </w:rPr>
                  </w:pPr>
                </w:p>
              </w:tc>
              <w:tc>
                <w:tcPr>
                  <w:tcW w:w="946" w:type="dxa"/>
                  <w:vMerge w:val="continue"/>
                  <w:noWrap w:val="0"/>
                  <w:vAlign w:val="center"/>
                </w:tcPr>
                <w:p>
                  <w:pPr>
                    <w:rPr>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173" w:type="dxa"/>
                  <w:noWrap w:val="0"/>
                  <w:vAlign w:val="center"/>
                </w:tcPr>
                <w:p>
                  <w:pPr>
                    <w:pStyle w:val="57"/>
                    <w:adjustRightInd/>
                    <w:snapToGrid/>
                    <w:spacing w:beforeLines="0" w:afterLines="0" w:line="240" w:lineRule="auto"/>
                    <w:rPr>
                      <w:rFonts w:hint="default" w:ascii="Times New Roman"/>
                      <w:color w:val="auto"/>
                      <w:szCs w:val="21"/>
                      <w:lang w:val="en-US" w:eastAsia="zh-CN"/>
                    </w:rPr>
                  </w:pPr>
                  <w:r>
                    <w:rPr>
                      <w:rFonts w:hint="eastAsia" w:ascii="Times New Roman"/>
                      <w:color w:val="auto"/>
                      <w:szCs w:val="21"/>
                      <w:lang w:val="en-US" w:eastAsia="zh-CN"/>
                    </w:rPr>
                    <w:t>稻田村居民</w:t>
                  </w:r>
                </w:p>
              </w:tc>
              <w:tc>
                <w:tcPr>
                  <w:tcW w:w="1509" w:type="dxa"/>
                  <w:noWrap w:val="0"/>
                  <w:vAlign w:val="center"/>
                </w:tcPr>
                <w:p>
                  <w:pPr>
                    <w:pStyle w:val="57"/>
                    <w:adjustRightInd/>
                    <w:snapToGrid/>
                    <w:spacing w:beforeLines="0" w:afterLines="0" w:line="240" w:lineRule="auto"/>
                    <w:rPr>
                      <w:rFonts w:hint="default" w:ascii="Times New Roman" w:hAnsi="Times New Roman" w:cs="Times New Roman"/>
                      <w:color w:val="auto"/>
                      <w:szCs w:val="21"/>
                    </w:rPr>
                  </w:pPr>
                  <w:r>
                    <w:rPr>
                      <w:rFonts w:hint="default" w:ascii="Times New Roman" w:hAnsi="Times New Roman" w:cs="Times New Roman"/>
                    </w:rPr>
                    <w:t>130.06597996</w:t>
                  </w:r>
                </w:p>
              </w:tc>
              <w:tc>
                <w:tcPr>
                  <w:tcW w:w="1464" w:type="dxa"/>
                  <w:noWrap w:val="0"/>
                  <w:vAlign w:val="center"/>
                </w:tcPr>
                <w:p>
                  <w:pPr>
                    <w:pStyle w:val="57"/>
                    <w:adjustRightInd/>
                    <w:snapToGrid/>
                    <w:spacing w:beforeLines="0" w:afterLines="0" w:line="240" w:lineRule="auto"/>
                    <w:rPr>
                      <w:rFonts w:hint="default" w:ascii="Times New Roman" w:hAnsi="Times New Roman" w:cs="Times New Roman"/>
                      <w:color w:val="auto"/>
                      <w:szCs w:val="21"/>
                    </w:rPr>
                  </w:pPr>
                  <w:r>
                    <w:rPr>
                      <w:rFonts w:hint="default" w:ascii="Times New Roman" w:hAnsi="Times New Roman" w:cs="Times New Roman"/>
                    </w:rPr>
                    <w:t>48.89144981</w:t>
                  </w:r>
                </w:p>
              </w:tc>
              <w:tc>
                <w:tcPr>
                  <w:tcW w:w="893" w:type="dxa"/>
                  <w:noWrap w:val="0"/>
                  <w:vAlign w:val="center"/>
                </w:tcPr>
                <w:p>
                  <w:pPr>
                    <w:pStyle w:val="57"/>
                    <w:adjustRightInd/>
                    <w:snapToGrid/>
                    <w:spacing w:beforeLines="0" w:afterLines="0" w:line="240" w:lineRule="auto"/>
                    <w:rPr>
                      <w:rFonts w:ascii="Times New Roman"/>
                      <w:bCs/>
                      <w:color w:val="auto"/>
                      <w:szCs w:val="21"/>
                    </w:rPr>
                  </w:pPr>
                  <w:r>
                    <w:rPr>
                      <w:rFonts w:ascii="Times New Roman"/>
                      <w:bCs/>
                      <w:color w:val="auto"/>
                      <w:szCs w:val="21"/>
                    </w:rPr>
                    <w:t>居住区</w:t>
                  </w:r>
                </w:p>
              </w:tc>
              <w:tc>
                <w:tcPr>
                  <w:tcW w:w="731" w:type="dxa"/>
                  <w:noWrap w:val="0"/>
                  <w:vAlign w:val="center"/>
                </w:tcPr>
                <w:p>
                  <w:pPr>
                    <w:pStyle w:val="57"/>
                    <w:adjustRightInd/>
                    <w:snapToGrid/>
                    <w:spacing w:beforeLines="0" w:afterLines="0" w:line="240" w:lineRule="auto"/>
                    <w:rPr>
                      <w:rFonts w:ascii="Times New Roman"/>
                      <w:bCs/>
                      <w:color w:val="auto"/>
                      <w:szCs w:val="21"/>
                    </w:rPr>
                  </w:pPr>
                  <w:r>
                    <w:rPr>
                      <w:rFonts w:ascii="Times New Roman"/>
                      <w:bCs/>
                      <w:color w:val="auto"/>
                      <w:szCs w:val="21"/>
                    </w:rPr>
                    <w:t>人群</w:t>
                  </w:r>
                </w:p>
              </w:tc>
              <w:tc>
                <w:tcPr>
                  <w:tcW w:w="1026" w:type="dxa"/>
                  <w:noWrap w:val="0"/>
                  <w:vAlign w:val="center"/>
                </w:tcPr>
                <w:p>
                  <w:pPr>
                    <w:pStyle w:val="57"/>
                    <w:spacing w:before="24" w:after="24" w:line="240" w:lineRule="auto"/>
                    <w:ind w:left="-3" w:leftChars="0" w:firstLine="3" w:firstLineChars="0"/>
                    <w:rPr>
                      <w:rFonts w:ascii="Times New Roman"/>
                      <w:bCs/>
                      <w:color w:val="auto"/>
                      <w:szCs w:val="21"/>
                    </w:rPr>
                  </w:pPr>
                  <w:r>
                    <w:rPr>
                      <w:rFonts w:ascii="Times New Roman"/>
                      <w:bCs/>
                      <w:color w:val="auto"/>
                      <w:szCs w:val="21"/>
                    </w:rPr>
                    <w:t>二类区</w:t>
                  </w:r>
                </w:p>
              </w:tc>
              <w:tc>
                <w:tcPr>
                  <w:tcW w:w="876" w:type="dxa"/>
                  <w:noWrap w:val="0"/>
                  <w:vAlign w:val="center"/>
                </w:tcPr>
                <w:p>
                  <w:pPr>
                    <w:jc w:val="center"/>
                    <w:rPr>
                      <w:rFonts w:hint="default"/>
                      <w:color w:val="auto"/>
                      <w:lang w:val="en-US" w:eastAsia="zh-CN"/>
                    </w:rPr>
                  </w:pPr>
                  <w:r>
                    <w:rPr>
                      <w:rFonts w:hint="eastAsia"/>
                      <w:color w:val="auto"/>
                      <w:lang w:val="en-US" w:eastAsia="zh-CN"/>
                    </w:rPr>
                    <w:t>西</w:t>
                  </w:r>
                </w:p>
              </w:tc>
              <w:tc>
                <w:tcPr>
                  <w:tcW w:w="946" w:type="dxa"/>
                  <w:noWrap w:val="0"/>
                  <w:vAlign w:val="center"/>
                </w:tcPr>
                <w:p>
                  <w:pPr>
                    <w:jc w:val="center"/>
                    <w:rPr>
                      <w:rFonts w:hint="default"/>
                      <w:color w:val="auto"/>
                      <w:szCs w:val="21"/>
                      <w:lang w:val="en-US" w:eastAsia="zh-CN"/>
                    </w:rPr>
                  </w:pPr>
                  <w:r>
                    <w:rPr>
                      <w:rFonts w:hint="eastAsia"/>
                      <w:color w:val="auto"/>
                      <w:lang w:val="en-US" w:eastAsia="zh-CN"/>
                    </w:rPr>
                    <w:t>400m</w:t>
                  </w:r>
                </w:p>
              </w:tc>
            </w:tr>
          </w:tbl>
          <w:p>
            <w:pPr>
              <w:keepNext w:val="0"/>
              <w:keepLines w:val="0"/>
              <w:pageBreakBefore w:val="0"/>
              <w:widowControl w:val="0"/>
              <w:kinsoku/>
              <w:wordWrap/>
              <w:overflowPunct/>
              <w:topLinePunct w:val="0"/>
              <w:autoSpaceDE/>
              <w:autoSpaceDN/>
              <w:bidi w:val="0"/>
              <w:adjustRightInd/>
              <w:snapToGrid/>
              <w:spacing w:line="360" w:lineRule="auto"/>
              <w:ind w:firstLine="498" w:firstLineChars="200"/>
              <w:textAlignment w:val="auto"/>
              <w:rPr>
                <w:color w:val="auto"/>
                <w:spacing w:val="4"/>
                <w:sz w:val="24"/>
              </w:rPr>
            </w:pPr>
            <w:r>
              <w:rPr>
                <w:rFonts w:hint="eastAsia"/>
                <w:b/>
                <w:bCs/>
                <w:color w:val="auto"/>
                <w:spacing w:val="4"/>
                <w:sz w:val="24"/>
                <w:lang w:val="en-US" w:eastAsia="zh-CN"/>
              </w:rPr>
              <w:t>2</w:t>
            </w:r>
            <w:r>
              <w:rPr>
                <w:b/>
                <w:bCs/>
                <w:color w:val="auto"/>
                <w:spacing w:val="4"/>
                <w:sz w:val="24"/>
              </w:rPr>
              <w:t>、声环境保护目标</w:t>
            </w:r>
            <w:r>
              <w:rPr>
                <w:color w:val="auto"/>
                <w:spacing w:val="4"/>
                <w:sz w:val="24"/>
              </w:rPr>
              <w:t>：</w:t>
            </w:r>
          </w:p>
          <w:p>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spacing w:val="4"/>
                <w:kern w:val="2"/>
                <w:sz w:val="24"/>
                <w:szCs w:val="24"/>
                <w:lang w:val="en-US" w:eastAsia="zh-CN" w:bidi="ar-SA"/>
              </w:rPr>
            </w:pPr>
            <w:r>
              <w:rPr>
                <w:rFonts w:hint="eastAsia" w:ascii="Times New Roman" w:hAnsi="Times New Roman" w:eastAsia="宋体" w:cs="Times New Roman"/>
                <w:color w:val="auto"/>
                <w:spacing w:val="4"/>
                <w:kern w:val="2"/>
                <w:sz w:val="24"/>
                <w:szCs w:val="24"/>
                <w:lang w:val="en-US" w:eastAsia="zh-CN" w:bidi="ar-SA"/>
              </w:rPr>
              <w:t>本项目50m范围内</w:t>
            </w:r>
            <w:r>
              <w:rPr>
                <w:rFonts w:hint="eastAsia" w:cs="Times New Roman"/>
                <w:color w:val="auto"/>
                <w:spacing w:val="4"/>
                <w:kern w:val="2"/>
                <w:sz w:val="24"/>
                <w:szCs w:val="24"/>
                <w:lang w:val="en-US" w:eastAsia="zh-CN" w:bidi="ar-SA"/>
              </w:rPr>
              <w:t>无</w:t>
            </w:r>
            <w:r>
              <w:rPr>
                <w:rFonts w:hint="eastAsia" w:ascii="Times New Roman" w:hAnsi="Times New Roman" w:eastAsia="宋体" w:cs="Times New Roman"/>
                <w:color w:val="auto"/>
                <w:spacing w:val="4"/>
                <w:kern w:val="2"/>
                <w:sz w:val="24"/>
                <w:szCs w:val="24"/>
                <w:lang w:val="en-US" w:eastAsia="zh-CN" w:bidi="ar-SA"/>
              </w:rPr>
              <w:t>声环境保护</w:t>
            </w:r>
            <w:r>
              <w:rPr>
                <w:rFonts w:hint="eastAsia" w:cs="Times New Roman"/>
                <w:color w:val="auto"/>
                <w:spacing w:val="4"/>
                <w:kern w:val="2"/>
                <w:sz w:val="24"/>
                <w:szCs w:val="24"/>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98" w:firstLineChars="200"/>
              <w:textAlignment w:val="auto"/>
              <w:rPr>
                <w:color w:val="auto"/>
                <w:spacing w:val="4"/>
                <w:sz w:val="24"/>
              </w:rPr>
            </w:pPr>
            <w:r>
              <w:rPr>
                <w:rFonts w:hint="eastAsia"/>
                <w:b/>
                <w:bCs/>
                <w:color w:val="auto"/>
                <w:spacing w:val="4"/>
                <w:sz w:val="24"/>
                <w:lang w:val="en-US" w:eastAsia="zh-CN"/>
              </w:rPr>
              <w:t>3、</w:t>
            </w:r>
            <w:r>
              <w:rPr>
                <w:b/>
                <w:bCs/>
                <w:color w:val="auto"/>
                <w:spacing w:val="4"/>
                <w:sz w:val="24"/>
              </w:rPr>
              <w:t>地下水保护目标</w:t>
            </w:r>
            <w:r>
              <w:rPr>
                <w:color w:val="auto"/>
                <w:spacing w:val="4"/>
                <w:sz w:val="24"/>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color w:val="auto"/>
                <w:spacing w:val="4"/>
                <w:sz w:val="24"/>
              </w:rPr>
            </w:pPr>
            <w:r>
              <w:rPr>
                <w:bCs/>
                <w:color w:val="auto"/>
                <w:sz w:val="24"/>
              </w:rPr>
              <w:t>本项目</w:t>
            </w:r>
            <w:r>
              <w:rPr>
                <w:color w:val="auto"/>
                <w:spacing w:val="4"/>
                <w:sz w:val="24"/>
              </w:rPr>
              <w:t>厂界外500m范围内无地下水集中式饮用水水源和热水、矿泉水、温泉等特殊地下水资源。</w:t>
            </w:r>
          </w:p>
          <w:p>
            <w:pPr>
              <w:pStyle w:val="2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pPr>
            <w:r>
              <w:drawing>
                <wp:inline distT="0" distB="0" distL="114300" distR="114300">
                  <wp:extent cx="5136515" cy="3924300"/>
                  <wp:effectExtent l="0" t="0" r="6985" b="0"/>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pic:cNvPicPr>
                        </pic:nvPicPr>
                        <pic:blipFill>
                          <a:blip r:embed="rId21"/>
                          <a:stretch>
                            <a:fillRect/>
                          </a:stretch>
                        </pic:blipFill>
                        <pic:spPr>
                          <a:xfrm>
                            <a:off x="0" y="0"/>
                            <a:ext cx="5136515" cy="3924300"/>
                          </a:xfrm>
                          <a:prstGeom prst="rect">
                            <a:avLst/>
                          </a:prstGeom>
                          <a:noFill/>
                          <a:ln>
                            <a:noFill/>
                          </a:ln>
                        </pic:spPr>
                      </pic:pic>
                    </a:graphicData>
                  </a:graphic>
                </wp:inline>
              </w:drawing>
            </w:r>
          </w:p>
          <w:p>
            <w:pPr>
              <w:pStyle w:val="27"/>
              <w:keepNext w:val="0"/>
              <w:keepLines w:val="0"/>
              <w:pageBreakBefore w:val="0"/>
              <w:widowControl w:val="0"/>
              <w:kinsoku/>
              <w:wordWrap/>
              <w:overflowPunct/>
              <w:topLinePunct w:val="0"/>
              <w:autoSpaceDE/>
              <w:autoSpaceDN/>
              <w:bidi w:val="0"/>
              <w:adjustRightInd/>
              <w:snapToGrid/>
              <w:spacing w:line="360" w:lineRule="auto"/>
              <w:ind w:left="0" w:leftChars="0" w:firstLine="2650" w:firstLineChars="1100"/>
              <w:jc w:val="both"/>
              <w:textAlignment w:val="auto"/>
              <w:rPr>
                <w:rFonts w:hint="default" w:ascii="Times New Roman" w:hAnsi="Times New Roman" w:cs="Times New Roman"/>
                <w:color w:val="auto"/>
                <w:lang w:val="en-US" w:eastAsia="zh-CN"/>
              </w:rPr>
            </w:pPr>
            <w:r>
              <w:rPr>
                <w:rFonts w:hint="default" w:ascii="Times New Roman" w:hAnsi="Times New Roman" w:cs="Times New Roman"/>
                <w:b/>
                <w:bCs/>
                <w:color w:val="auto"/>
                <w:sz w:val="24"/>
                <w:szCs w:val="24"/>
                <w:lang w:eastAsia="zh-CN"/>
              </w:rPr>
              <w:t>图</w:t>
            </w:r>
            <w:r>
              <w:rPr>
                <w:rFonts w:hint="default" w:ascii="Times New Roman" w:hAnsi="Times New Roman" w:cs="Times New Roman"/>
                <w:b/>
                <w:bCs/>
                <w:color w:val="auto"/>
                <w:sz w:val="24"/>
                <w:szCs w:val="24"/>
                <w:lang w:val="en-US" w:eastAsia="zh-CN"/>
              </w:rPr>
              <w:t>3-</w:t>
            </w:r>
            <w:r>
              <w:rPr>
                <w:rFonts w:hint="eastAsia"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lang w:val="en-US" w:eastAsia="zh-CN"/>
              </w:rPr>
              <w:t xml:space="preserve"> </w:t>
            </w:r>
            <w:r>
              <w:rPr>
                <w:rFonts w:hint="eastAsia" w:ascii="Times New Roman" w:hAnsi="Times New Roman" w:cs="Times New Roman"/>
                <w:b/>
                <w:bCs/>
                <w:color w:val="auto"/>
                <w:sz w:val="24"/>
                <w:szCs w:val="24"/>
                <w:lang w:val="en-US" w:eastAsia="zh-CN"/>
              </w:rPr>
              <w:t>本项目评价范围</w:t>
            </w:r>
            <w:r>
              <w:rPr>
                <w:rFonts w:hint="default" w:ascii="Times New Roman" w:hAnsi="Times New Roman" w:cs="Times New Roman"/>
                <w:b/>
                <w:bCs/>
                <w:color w:val="auto"/>
                <w:sz w:val="24"/>
                <w:szCs w:val="24"/>
                <w:lang w:val="en-US" w:eastAsia="zh-CN"/>
              </w:rPr>
              <w:t>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094" w:hRule="atLeast"/>
          <w:jc w:val="center"/>
        </w:trPr>
        <w:tc>
          <w:tcPr>
            <w:tcW w:w="804" w:type="dxa"/>
            <w:noWrap w:val="0"/>
            <w:tcMar>
              <w:left w:w="28" w:type="dxa"/>
              <w:right w:w="28" w:type="dxa"/>
            </w:tcMar>
            <w:vAlign w:val="center"/>
          </w:tcPr>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污染</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物排</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放控</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制标</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准</w:t>
            </w:r>
          </w:p>
        </w:tc>
        <w:tc>
          <w:tcPr>
            <w:tcW w:w="8834" w:type="dxa"/>
            <w:noWrap w:val="0"/>
            <w:vAlign w:val="top"/>
          </w:tcPr>
          <w:p>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大气污染物排放标准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w:t>
            </w:r>
            <w:r>
              <w:rPr>
                <w:rFonts w:ascii="Times New Roman" w:hAnsi="Times New Roman" w:cs="Times New Roman"/>
                <w:bCs/>
                <w:color w:val="auto"/>
                <w:kern w:val="0"/>
                <w:sz w:val="24"/>
              </w:rPr>
              <w:t>施工期扬尘</w:t>
            </w:r>
            <w:r>
              <w:rPr>
                <w:rFonts w:hint="eastAsia" w:ascii="Times New Roman" w:hAnsi="Times New Roman" w:cs="Times New Roman"/>
                <w:bCs/>
                <w:color w:val="auto"/>
                <w:kern w:val="0"/>
                <w:sz w:val="24"/>
                <w:lang w:val="en-US" w:eastAsia="zh-CN"/>
              </w:rPr>
              <w:t>及</w:t>
            </w:r>
            <w:r>
              <w:rPr>
                <w:rFonts w:hint="default" w:ascii="Times New Roman" w:hAnsi="Times New Roman" w:eastAsia="宋体" w:cs="Times New Roman"/>
                <w:color w:val="auto"/>
                <w:sz w:val="24"/>
                <w:szCs w:val="24"/>
                <w:lang w:val="en-US" w:eastAsia="zh-CN"/>
              </w:rPr>
              <w:t>运营期</w:t>
            </w:r>
            <w:r>
              <w:rPr>
                <w:rFonts w:hint="eastAsia" w:cs="Times New Roman"/>
                <w:color w:val="auto"/>
                <w:sz w:val="24"/>
                <w:szCs w:val="24"/>
                <w:lang w:val="en-US" w:eastAsia="zh-CN"/>
              </w:rPr>
              <w:t>厂界</w:t>
            </w:r>
            <w:r>
              <w:rPr>
                <w:rFonts w:hint="default" w:ascii="Times New Roman" w:hAnsi="Times New Roman" w:eastAsia="宋体" w:cs="Times New Roman"/>
                <w:color w:val="auto"/>
                <w:sz w:val="24"/>
                <w:szCs w:val="24"/>
                <w:lang w:val="en-US" w:eastAsia="zh-CN"/>
              </w:rPr>
              <w:t>颗粒物无组织排放执行《大气污染物综合排放标准》（GB16297-1996）表2中无组织排放浓度监控限值要求。</w:t>
            </w:r>
            <w:r>
              <w:rPr>
                <w:rFonts w:hint="eastAsia" w:cs="Times New Roman"/>
                <w:color w:val="auto"/>
                <w:sz w:val="24"/>
                <w:szCs w:val="24"/>
                <w:lang w:val="en-US" w:eastAsia="zh-CN"/>
              </w:rPr>
              <w:t>工业炉窑周边执行</w:t>
            </w:r>
            <w:r>
              <w:rPr>
                <w:rFonts w:hint="default" w:ascii="Times New Roman" w:hAnsi="Times New Roman" w:eastAsia="宋体" w:cs="Times New Roman"/>
                <w:color w:val="auto"/>
                <w:sz w:val="24"/>
                <w:szCs w:val="24"/>
                <w:lang w:val="en-US" w:eastAsia="zh-CN"/>
              </w:rPr>
              <w:t>《工业炉窑大气污染物排放标准》（GB9078-1996）</w:t>
            </w:r>
            <w:r>
              <w:rPr>
                <w:rFonts w:hint="eastAsia" w:ascii="Times New Roman" w:hAnsi="Times New Roman" w:eastAsia="宋体" w:cs="Times New Roman"/>
                <w:color w:val="auto"/>
                <w:sz w:val="24"/>
                <w:szCs w:val="24"/>
                <w:lang w:val="en-US" w:eastAsia="zh-CN"/>
              </w:rPr>
              <w:t>中表3标准</w:t>
            </w:r>
          </w:p>
          <w:p>
            <w:pPr>
              <w:pStyle w:val="80"/>
              <w:adjustRightInd/>
              <w:snapToGrid/>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表</w:t>
            </w:r>
            <w:r>
              <w:rPr>
                <w:rFonts w:hint="default" w:ascii="Times New Roman" w:hAnsi="Times New Roman" w:eastAsia="宋体" w:cs="Times New Roman"/>
                <w:b/>
                <w:bCs/>
                <w:color w:val="auto"/>
                <w:sz w:val="21"/>
                <w:szCs w:val="21"/>
                <w:lang w:val="en-US" w:eastAsia="zh-CN"/>
              </w:rPr>
              <w:t>3-</w:t>
            </w:r>
            <w:r>
              <w:rPr>
                <w:rFonts w:hint="eastAsia" w:eastAsia="宋体" w:cs="Times New Roman"/>
                <w:b/>
                <w:bCs/>
                <w:color w:val="auto"/>
                <w:sz w:val="21"/>
                <w:szCs w:val="21"/>
                <w:lang w:val="en-US" w:eastAsia="zh-CN"/>
              </w:rPr>
              <w:t>4 无组织废气排放标准</w:t>
            </w:r>
          </w:p>
          <w:tbl>
            <w:tblPr>
              <w:tblStyle w:val="30"/>
              <w:tblW w:w="8615"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
            <w:tblGrid>
              <w:gridCol w:w="995"/>
              <w:gridCol w:w="1286"/>
              <w:gridCol w:w="3240"/>
              <w:gridCol w:w="309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168" w:hRule="atLeast"/>
                <w:jc w:val="center"/>
              </w:trPr>
              <w:tc>
                <w:tcPr>
                  <w:tcW w:w="995"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污染物</w:t>
                  </w:r>
                </w:p>
              </w:tc>
              <w:tc>
                <w:tcPr>
                  <w:tcW w:w="1286"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排放</w:t>
                  </w:r>
                  <w:r>
                    <w:rPr>
                      <w:rFonts w:hint="eastAsia" w:cs="Times New Roman"/>
                      <w:color w:val="auto"/>
                      <w:lang w:val="en-US" w:eastAsia="zh-CN"/>
                    </w:rPr>
                    <w:t>形式</w:t>
                  </w:r>
                </w:p>
              </w:tc>
              <w:tc>
                <w:tcPr>
                  <w:tcW w:w="32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排放监控浓度限值</w:t>
                  </w:r>
                </w:p>
              </w:tc>
              <w:tc>
                <w:tcPr>
                  <w:tcW w:w="3094"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执行标准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394" w:hRule="atLeast"/>
                <w:jc w:val="center"/>
              </w:trPr>
              <w:tc>
                <w:tcPr>
                  <w:tcW w:w="995"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颗粒物</w:t>
                  </w:r>
                </w:p>
              </w:tc>
              <w:tc>
                <w:tcPr>
                  <w:tcW w:w="1286"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无组织</w:t>
                  </w:r>
                </w:p>
              </w:tc>
              <w:tc>
                <w:tcPr>
                  <w:tcW w:w="32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周界外浓度最高点：</w:t>
                  </w:r>
                  <w:r>
                    <w:rPr>
                      <w:rFonts w:hint="default" w:ascii="Times New Roman" w:hAnsi="Times New Roman" w:eastAsia="宋体" w:cs="Times New Roman"/>
                      <w:color w:val="auto"/>
                      <w:lang w:val="en-US" w:eastAsia="zh-CN"/>
                    </w:rPr>
                    <w:t>1.0</w:t>
                  </w:r>
                  <w:r>
                    <w:rPr>
                      <w:rFonts w:hint="default" w:ascii="Times New Roman" w:hAnsi="Times New Roman" w:eastAsia="宋体" w:cs="Times New Roman"/>
                      <w:color w:val="auto"/>
                      <w:lang w:eastAsia="zh-CN"/>
                    </w:rPr>
                    <w:t>mg/m</w:t>
                  </w:r>
                  <w:r>
                    <w:rPr>
                      <w:rFonts w:hint="default" w:ascii="Times New Roman" w:hAnsi="Times New Roman" w:eastAsia="宋体" w:cs="Times New Roman"/>
                      <w:color w:val="auto"/>
                      <w:vertAlign w:val="superscript"/>
                      <w:lang w:eastAsia="zh-CN"/>
                    </w:rPr>
                    <w:t>3</w:t>
                  </w:r>
                </w:p>
              </w:tc>
              <w:tc>
                <w:tcPr>
                  <w:tcW w:w="3094"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《大气污染物综合排放标准》（GB16297-1996）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394" w:hRule="atLeast"/>
                <w:jc w:val="center"/>
              </w:trPr>
              <w:tc>
                <w:tcPr>
                  <w:tcW w:w="995"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颗粒物</w:t>
                  </w:r>
                </w:p>
              </w:tc>
              <w:tc>
                <w:tcPr>
                  <w:tcW w:w="1286"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无组织</w:t>
                  </w:r>
                </w:p>
              </w:tc>
              <w:tc>
                <w:tcPr>
                  <w:tcW w:w="32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工业炉窑周边：5.0</w:t>
                  </w:r>
                  <w:r>
                    <w:rPr>
                      <w:rFonts w:hint="default" w:ascii="Times New Roman" w:hAnsi="Times New Roman" w:eastAsia="宋体" w:cs="Times New Roman"/>
                      <w:color w:val="auto"/>
                      <w:lang w:eastAsia="zh-CN"/>
                    </w:rPr>
                    <w:t>mg/m</w:t>
                  </w:r>
                  <w:r>
                    <w:rPr>
                      <w:rFonts w:hint="default" w:ascii="Times New Roman" w:hAnsi="Times New Roman" w:eastAsia="宋体" w:cs="Times New Roman"/>
                      <w:color w:val="auto"/>
                      <w:vertAlign w:val="superscript"/>
                      <w:lang w:eastAsia="zh-CN"/>
                    </w:rPr>
                    <w:t>3</w:t>
                  </w:r>
                </w:p>
              </w:tc>
              <w:tc>
                <w:tcPr>
                  <w:tcW w:w="3094" w:type="dxa"/>
                  <w:tcBorders>
                    <w:tl2br w:val="nil"/>
                    <w:tr2bl w:val="nil"/>
                  </w:tcBorders>
                  <w:noWrap w:val="0"/>
                  <w:vAlign w:val="center"/>
                </w:tcPr>
                <w:p>
                  <w:pPr>
                    <w:pStyle w:val="74"/>
                    <w:adjustRightInd w:val="0"/>
                    <w:snapToGrid w:val="0"/>
                    <w:spacing w:line="240" w:lineRule="auto"/>
                    <w:ind w:firstLine="0" w:firstLineChars="0"/>
                    <w:rPr>
                      <w:rFonts w:hint="eastAsia" w:cs="Times New Roman"/>
                      <w:color w:val="auto"/>
                      <w:lang w:val="en-US" w:eastAsia="zh-CN"/>
                    </w:rPr>
                  </w:pPr>
                  <w:r>
                    <w:rPr>
                      <w:rFonts w:hint="eastAsia" w:cs="Times New Roman"/>
                      <w:color w:val="auto"/>
                      <w:lang w:val="en-US" w:eastAsia="zh-CN"/>
                    </w:rPr>
                    <w:t>《工业炉窑大气污染物排放标准》（GB9078-1996）</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本项目运营期热风炉烟尘、SO</w:t>
            </w:r>
            <w:r>
              <w:rPr>
                <w:rFonts w:hint="default" w:ascii="Times New Roman" w:hAnsi="Times New Roman" w:eastAsia="宋体" w:cs="Times New Roman"/>
                <w:color w:val="auto"/>
                <w:sz w:val="24"/>
                <w:szCs w:val="24"/>
                <w:vertAlign w:val="subscript"/>
                <w:lang w:val="en-US" w:eastAsia="zh-CN"/>
              </w:rPr>
              <w:t>2</w:t>
            </w:r>
            <w:r>
              <w:rPr>
                <w:rFonts w:hint="default" w:ascii="Times New Roman" w:hAnsi="Times New Roman" w:eastAsia="宋体" w:cs="Times New Roman"/>
                <w:color w:val="auto"/>
                <w:sz w:val="24"/>
                <w:szCs w:val="24"/>
                <w:lang w:val="en-US" w:eastAsia="zh-CN"/>
              </w:rPr>
              <w:t>、烟气黑度排放执行《工业炉窑大气污染物排放标准》（GB9078-1996）中表2和表4二级标准。</w:t>
            </w:r>
          </w:p>
          <w:p>
            <w:pPr>
              <w:pStyle w:val="80"/>
              <w:adjustRightInd/>
              <w:snapToGrid/>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w:t>
            </w:r>
            <w:r>
              <w:rPr>
                <w:rFonts w:hint="default" w:ascii="Times New Roman" w:hAnsi="Times New Roman" w:eastAsia="宋体" w:cs="Times New Roman"/>
                <w:b/>
                <w:bCs/>
                <w:color w:val="auto"/>
                <w:sz w:val="21"/>
                <w:szCs w:val="21"/>
                <w:lang w:val="en-US" w:eastAsia="zh-CN"/>
              </w:rPr>
              <w:t>3-</w:t>
            </w:r>
            <w:r>
              <w:rPr>
                <w:rFonts w:hint="eastAsia" w:eastAsia="宋体" w:cs="Times New Roman"/>
                <w:b/>
                <w:bCs/>
                <w:color w:val="auto"/>
                <w:sz w:val="21"/>
                <w:szCs w:val="21"/>
                <w:lang w:val="en-US" w:eastAsia="zh-CN"/>
              </w:rPr>
              <w:t>5</w:t>
            </w:r>
            <w:r>
              <w:rPr>
                <w:rFonts w:hint="default" w:ascii="Times New Roman" w:hAnsi="Times New Roman" w:eastAsia="宋体" w:cs="Times New Roman"/>
                <w:b/>
                <w:bCs/>
                <w:color w:val="auto"/>
                <w:sz w:val="21"/>
                <w:szCs w:val="21"/>
                <w:lang w:val="en-US" w:eastAsia="zh-CN"/>
              </w:rPr>
              <w:t xml:space="preserve"> </w:t>
            </w:r>
            <w:r>
              <w:rPr>
                <w:rFonts w:hint="default" w:ascii="Times New Roman" w:hAnsi="Times New Roman" w:eastAsia="宋体" w:cs="Times New Roman"/>
                <w:b/>
                <w:bCs/>
                <w:color w:val="auto"/>
                <w:sz w:val="21"/>
                <w:szCs w:val="21"/>
              </w:rPr>
              <w:t>《工业炉窑大气污染物排放标准》（GB9078-1996）</w:t>
            </w:r>
          </w:p>
          <w:tbl>
            <w:tblPr>
              <w:tblStyle w:val="30"/>
              <w:tblW w:w="8615"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
            <w:tblGrid>
              <w:gridCol w:w="1440"/>
              <w:gridCol w:w="787"/>
              <w:gridCol w:w="4653"/>
              <w:gridCol w:w="173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180" w:hRule="atLeast"/>
                <w:jc w:val="center"/>
              </w:trPr>
              <w:tc>
                <w:tcPr>
                  <w:tcW w:w="14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污染物</w:t>
                  </w:r>
                </w:p>
              </w:tc>
              <w:tc>
                <w:tcPr>
                  <w:tcW w:w="787"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排放源</w:t>
                  </w:r>
                </w:p>
              </w:tc>
              <w:tc>
                <w:tcPr>
                  <w:tcW w:w="4653"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排放</w:t>
                  </w:r>
                  <w:r>
                    <w:rPr>
                      <w:rFonts w:hint="default" w:ascii="Times New Roman" w:hAnsi="Times New Roman" w:eastAsia="宋体" w:cs="Times New Roman"/>
                      <w:color w:val="auto"/>
                      <w:lang w:eastAsia="zh-CN"/>
                    </w:rPr>
                    <w:t>限值（</w:t>
                  </w:r>
                  <w:r>
                    <w:rPr>
                      <w:rFonts w:hint="default" w:ascii="Times New Roman" w:hAnsi="Times New Roman" w:eastAsia="宋体" w:cs="Times New Roman"/>
                      <w:color w:val="auto"/>
                      <w:lang w:val="en-US" w:eastAsia="zh-CN"/>
                    </w:rPr>
                    <w:t>标准级别：二级</w:t>
                  </w:r>
                  <w:r>
                    <w:rPr>
                      <w:rFonts w:hint="default" w:ascii="Times New Roman" w:hAnsi="Times New Roman" w:eastAsia="宋体" w:cs="Times New Roman"/>
                      <w:color w:val="auto"/>
                      <w:lang w:eastAsia="zh-CN"/>
                    </w:rPr>
                    <w:t>）</w:t>
                  </w:r>
                </w:p>
              </w:tc>
              <w:tc>
                <w:tcPr>
                  <w:tcW w:w="1735"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执行标准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343" w:hRule="atLeast"/>
                <w:jc w:val="center"/>
              </w:trPr>
              <w:tc>
                <w:tcPr>
                  <w:tcW w:w="14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颗粒物</w:t>
                  </w:r>
                </w:p>
              </w:tc>
              <w:tc>
                <w:tcPr>
                  <w:tcW w:w="787" w:type="dxa"/>
                  <w:vMerge w:val="restart"/>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有组织</w:t>
                  </w:r>
                </w:p>
              </w:tc>
              <w:tc>
                <w:tcPr>
                  <w:tcW w:w="4653"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窑炉类别：干燥炉、窑</w:t>
                  </w:r>
                </w:p>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烟（粉）尘浓度：200mg/m</w:t>
                  </w:r>
                  <w:r>
                    <w:rPr>
                      <w:rFonts w:hint="default" w:ascii="Times New Roman" w:hAnsi="Times New Roman" w:eastAsia="宋体" w:cs="Times New Roman"/>
                      <w:color w:val="auto"/>
                      <w:vertAlign w:val="superscript"/>
                      <w:lang w:val="en-US" w:eastAsia="zh-CN"/>
                    </w:rPr>
                    <w:t>3</w:t>
                  </w:r>
                </w:p>
              </w:tc>
              <w:tc>
                <w:tcPr>
                  <w:tcW w:w="1735" w:type="dxa"/>
                  <w:vMerge w:val="restart"/>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《工业炉窑大气污染物排放标准》（GB9078-1996）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193" w:hRule="atLeast"/>
                <w:jc w:val="center"/>
              </w:trPr>
              <w:tc>
                <w:tcPr>
                  <w:tcW w:w="14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烟气黑度</w:t>
                  </w:r>
                </w:p>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（林格曼级）</w:t>
                  </w:r>
                </w:p>
              </w:tc>
              <w:tc>
                <w:tcPr>
                  <w:tcW w:w="787" w:type="dxa"/>
                  <w:vMerge w:val="continue"/>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p>
              </w:tc>
              <w:tc>
                <w:tcPr>
                  <w:tcW w:w="4653"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窑炉类别：干燥炉、窑</w:t>
                  </w:r>
                </w:p>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烟气黑度：1</w:t>
                  </w:r>
                </w:p>
              </w:tc>
              <w:tc>
                <w:tcPr>
                  <w:tcW w:w="1735" w:type="dxa"/>
                  <w:vMerge w:val="continue"/>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90" w:hRule="atLeast"/>
                <w:jc w:val="center"/>
              </w:trPr>
              <w:tc>
                <w:tcPr>
                  <w:tcW w:w="14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二氧化硫</w:t>
                  </w:r>
                </w:p>
              </w:tc>
              <w:tc>
                <w:tcPr>
                  <w:tcW w:w="787" w:type="dxa"/>
                  <w:vMerge w:val="continue"/>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p>
              </w:tc>
              <w:tc>
                <w:tcPr>
                  <w:tcW w:w="4653"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窑炉类别：燃煤（油）炉、窑</w:t>
                  </w:r>
                </w:p>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二氧化硫排放浓度：850mg/m</w:t>
                  </w:r>
                  <w:r>
                    <w:rPr>
                      <w:rFonts w:hint="default" w:ascii="Times New Roman" w:hAnsi="Times New Roman" w:eastAsia="宋体" w:cs="Times New Roman"/>
                      <w:color w:val="auto"/>
                      <w:vertAlign w:val="superscript"/>
                      <w:lang w:val="en-US" w:eastAsia="zh-CN"/>
                    </w:rPr>
                    <w:t>3</w:t>
                  </w:r>
                </w:p>
              </w:tc>
              <w:tc>
                <w:tcPr>
                  <w:tcW w:w="1735" w:type="dxa"/>
                  <w:vMerge w:val="continue"/>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0" w:hRule="atLeast"/>
                <w:jc w:val="center"/>
              </w:trPr>
              <w:tc>
                <w:tcPr>
                  <w:tcW w:w="8615" w:type="dxa"/>
                  <w:gridSpan w:val="4"/>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烟囱最低允许高度15m</w:t>
                  </w:r>
                </w:p>
              </w:tc>
            </w:tr>
          </w:tbl>
          <w:p>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噪声排放标准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本项目施工期噪声执行</w:t>
            </w:r>
            <w:r>
              <w:rPr>
                <w:rFonts w:hint="eastAsia" w:cs="宋体"/>
                <w:color w:val="auto"/>
                <w:sz w:val="24"/>
                <w:szCs w:val="24"/>
              </w:rPr>
              <w:t>《</w:t>
            </w:r>
            <w:r>
              <w:rPr>
                <w:rFonts w:hint="eastAsia" w:cs="宋体"/>
                <w:color w:val="auto"/>
                <w:sz w:val="24"/>
                <w:szCs w:val="24"/>
                <w:lang w:val="en-US" w:eastAsia="zh-CN"/>
              </w:rPr>
              <w:t>建筑</w:t>
            </w:r>
            <w:r>
              <w:rPr>
                <w:rFonts w:hint="eastAsia" w:cs="宋体"/>
                <w:color w:val="auto"/>
                <w:sz w:val="24"/>
                <w:szCs w:val="24"/>
              </w:rPr>
              <w:t>施工噪声排放标准》（</w:t>
            </w:r>
            <w:r>
              <w:rPr>
                <w:rFonts w:hint="eastAsia" w:cs="宋体"/>
                <w:color w:val="auto"/>
                <w:sz w:val="24"/>
                <w:szCs w:val="24"/>
                <w:lang w:eastAsia="zh-CN"/>
              </w:rPr>
              <w:t>GB 12523</w:t>
            </w:r>
            <w:r>
              <w:rPr>
                <w:rFonts w:hint="eastAsia" w:cs="宋体"/>
                <w:color w:val="auto"/>
                <w:sz w:val="24"/>
                <w:szCs w:val="24"/>
              </w:rPr>
              <w:t>-20</w:t>
            </w:r>
            <w:r>
              <w:rPr>
                <w:rFonts w:hint="eastAsia" w:cs="宋体"/>
                <w:color w:val="auto"/>
                <w:sz w:val="24"/>
                <w:szCs w:val="24"/>
                <w:lang w:val="en-US" w:eastAsia="zh-CN"/>
              </w:rPr>
              <w:t>25</w:t>
            </w:r>
            <w:r>
              <w:rPr>
                <w:rFonts w:hint="eastAsia" w:cs="宋体"/>
                <w:color w:val="auto"/>
                <w:sz w:val="24"/>
                <w:szCs w:val="24"/>
              </w:rPr>
              <w:t>）</w:t>
            </w:r>
            <w:r>
              <w:rPr>
                <w:rFonts w:hint="eastAsia" w:cs="宋体"/>
                <w:color w:val="auto"/>
                <w:sz w:val="24"/>
                <w:szCs w:val="24"/>
                <w:lang w:eastAsia="zh-CN"/>
              </w:rPr>
              <w:t>。</w:t>
            </w:r>
            <w:r>
              <w:rPr>
                <w:color w:val="auto"/>
                <w:sz w:val="24"/>
              </w:rPr>
              <w:t>本项目运营期</w:t>
            </w:r>
            <w:r>
              <w:rPr>
                <w:rFonts w:hint="eastAsia"/>
                <w:color w:val="auto"/>
                <w:sz w:val="24"/>
                <w:lang w:val="en-US" w:eastAsia="zh-CN"/>
              </w:rPr>
              <w:t>厂界北侧、西侧、东侧</w:t>
            </w:r>
            <w:r>
              <w:rPr>
                <w:color w:val="auto"/>
                <w:sz w:val="24"/>
              </w:rPr>
              <w:t>噪声执行《工业企业厂界环境噪声排放标准》</w:t>
            </w:r>
            <w:r>
              <w:rPr>
                <w:rFonts w:hint="eastAsia"/>
                <w:color w:val="auto"/>
                <w:sz w:val="24"/>
                <w:lang w:eastAsia="zh-CN"/>
              </w:rPr>
              <w:t>（</w:t>
            </w:r>
            <w:r>
              <w:rPr>
                <w:color w:val="auto"/>
                <w:sz w:val="24"/>
              </w:rPr>
              <w:t>GB12348-2008</w:t>
            </w:r>
            <w:r>
              <w:rPr>
                <w:rFonts w:hint="eastAsia"/>
                <w:color w:val="auto"/>
                <w:sz w:val="24"/>
                <w:lang w:eastAsia="zh-CN"/>
              </w:rPr>
              <w:t>）</w:t>
            </w:r>
            <w:r>
              <w:rPr>
                <w:color w:val="auto"/>
                <w:sz w:val="24"/>
              </w:rPr>
              <w:t>表1中2类标准</w:t>
            </w:r>
            <w:r>
              <w:rPr>
                <w:rFonts w:hint="eastAsia"/>
                <w:color w:val="auto"/>
                <w:sz w:val="24"/>
                <w:lang w:eastAsia="zh-CN"/>
              </w:rPr>
              <w:t>，</w:t>
            </w:r>
            <w:r>
              <w:rPr>
                <w:rFonts w:hint="eastAsia"/>
                <w:color w:val="auto"/>
                <w:sz w:val="24"/>
                <w:lang w:val="en-US" w:eastAsia="zh-CN"/>
              </w:rPr>
              <w:t>厂界南侧执行</w:t>
            </w:r>
            <w:r>
              <w:rPr>
                <w:color w:val="auto"/>
                <w:sz w:val="24"/>
              </w:rPr>
              <w:t>《工业企业厂界环境噪声排放标准》</w:t>
            </w:r>
            <w:r>
              <w:rPr>
                <w:rFonts w:hint="eastAsia"/>
                <w:color w:val="auto"/>
                <w:sz w:val="24"/>
                <w:lang w:eastAsia="zh-CN"/>
              </w:rPr>
              <w:t>（</w:t>
            </w:r>
            <w:r>
              <w:rPr>
                <w:color w:val="auto"/>
                <w:sz w:val="24"/>
              </w:rPr>
              <w:t>GB12348-2008</w:t>
            </w:r>
            <w:r>
              <w:rPr>
                <w:rFonts w:hint="eastAsia"/>
                <w:color w:val="auto"/>
                <w:sz w:val="24"/>
                <w:lang w:eastAsia="zh-CN"/>
              </w:rPr>
              <w:t>）</w:t>
            </w:r>
            <w:r>
              <w:rPr>
                <w:color w:val="auto"/>
                <w:sz w:val="24"/>
              </w:rPr>
              <w:t>表1中</w:t>
            </w:r>
            <w:r>
              <w:rPr>
                <w:rFonts w:hint="eastAsia"/>
                <w:color w:val="auto"/>
                <w:sz w:val="24"/>
                <w:lang w:val="en-US" w:eastAsia="zh-CN"/>
              </w:rPr>
              <w:t>4</w:t>
            </w:r>
            <w:r>
              <w:rPr>
                <w:color w:val="auto"/>
                <w:sz w:val="24"/>
              </w:rPr>
              <w:t>类标准。</w:t>
            </w:r>
          </w:p>
          <w:p>
            <w:pPr>
              <w:pStyle w:val="80"/>
              <w:adjustRightInd/>
              <w:snapToGrid/>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表3-</w:t>
            </w:r>
            <w:r>
              <w:rPr>
                <w:rFonts w:hint="eastAsia" w:eastAsia="宋体" w:cs="Times New Roman"/>
                <w:b/>
                <w:bCs/>
                <w:color w:val="auto"/>
                <w:sz w:val="21"/>
                <w:szCs w:val="21"/>
                <w:lang w:val="en-US" w:eastAsia="zh-CN"/>
              </w:rPr>
              <w:t>6 噪声排放标准</w:t>
            </w:r>
          </w:p>
          <w:tbl>
            <w:tblPr>
              <w:tblStyle w:val="30"/>
              <w:tblW w:w="8615"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445"/>
              <w:gridCol w:w="1584"/>
              <w:gridCol w:w="158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445" w:type="dxa"/>
                  <w:tcBorders>
                    <w:tl2br w:val="nil"/>
                    <w:tr2bl w:val="nil"/>
                  </w:tcBorders>
                  <w:noWrap w:val="0"/>
                  <w:vAlign w:val="center"/>
                </w:tcPr>
                <w:p>
                  <w:pPr>
                    <w:spacing w:line="320" w:lineRule="exact"/>
                    <w:jc w:val="center"/>
                    <w:rPr>
                      <w:rFonts w:hint="default" w:ascii="Times New Roman" w:hAnsi="Times New Roman" w:eastAsia="宋体" w:cs="Times New Roman"/>
                      <w:color w:val="auto"/>
                      <w:spacing w:val="5"/>
                      <w:szCs w:val="21"/>
                    </w:rPr>
                  </w:pPr>
                  <w:r>
                    <w:rPr>
                      <w:rFonts w:hint="default" w:ascii="Times New Roman" w:hAnsi="Times New Roman" w:eastAsia="宋体" w:cs="Times New Roman"/>
                      <w:color w:val="auto"/>
                      <w:spacing w:val="5"/>
                      <w:szCs w:val="21"/>
                    </w:rPr>
                    <w:t>项目</w:t>
                  </w:r>
                </w:p>
              </w:tc>
              <w:tc>
                <w:tcPr>
                  <w:tcW w:w="1584" w:type="dxa"/>
                  <w:tcBorders>
                    <w:tl2br w:val="nil"/>
                    <w:tr2bl w:val="nil"/>
                  </w:tcBorders>
                  <w:noWrap w:val="0"/>
                  <w:vAlign w:val="center"/>
                </w:tcPr>
                <w:p>
                  <w:pPr>
                    <w:spacing w:line="320" w:lineRule="exact"/>
                    <w:jc w:val="center"/>
                    <w:rPr>
                      <w:rFonts w:hint="default" w:ascii="Times New Roman" w:hAnsi="Times New Roman" w:eastAsia="宋体" w:cs="Times New Roman"/>
                      <w:color w:val="auto"/>
                      <w:spacing w:val="5"/>
                      <w:szCs w:val="21"/>
                    </w:rPr>
                  </w:pPr>
                  <w:r>
                    <w:rPr>
                      <w:rFonts w:hint="default" w:ascii="Times New Roman" w:hAnsi="Times New Roman" w:eastAsia="宋体" w:cs="Times New Roman"/>
                      <w:color w:val="auto"/>
                      <w:spacing w:val="5"/>
                      <w:szCs w:val="21"/>
                    </w:rPr>
                    <w:t>昼间</w:t>
                  </w:r>
                </w:p>
              </w:tc>
              <w:tc>
                <w:tcPr>
                  <w:tcW w:w="1586" w:type="dxa"/>
                  <w:tcBorders>
                    <w:tl2br w:val="nil"/>
                    <w:tr2bl w:val="nil"/>
                  </w:tcBorders>
                  <w:noWrap w:val="0"/>
                  <w:vAlign w:val="center"/>
                </w:tcPr>
                <w:p>
                  <w:pPr>
                    <w:spacing w:line="320" w:lineRule="exact"/>
                    <w:jc w:val="center"/>
                    <w:rPr>
                      <w:rFonts w:hint="default" w:ascii="Times New Roman" w:hAnsi="Times New Roman" w:eastAsia="宋体" w:cs="Times New Roman"/>
                      <w:color w:val="auto"/>
                      <w:spacing w:val="5"/>
                      <w:szCs w:val="21"/>
                    </w:rPr>
                  </w:pPr>
                  <w:r>
                    <w:rPr>
                      <w:rFonts w:hint="default" w:ascii="Times New Roman" w:hAnsi="Times New Roman" w:eastAsia="宋体" w:cs="Times New Roman"/>
                      <w:color w:val="auto"/>
                      <w:spacing w:val="5"/>
                      <w:szCs w:val="21"/>
                    </w:rPr>
                    <w:t>夜间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445" w:type="dxa"/>
                  <w:tcBorders>
                    <w:tl2br w:val="nil"/>
                    <w:tr2bl w:val="nil"/>
                  </w:tcBorders>
                  <w:noWrap w:val="0"/>
                  <w:vAlign w:val="center"/>
                </w:tcPr>
                <w:p>
                  <w:pPr>
                    <w:spacing w:line="320" w:lineRule="exact"/>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rPr>
                    <w:t>《工业企业厂界环境噪声排放标准》</w:t>
                  </w:r>
                  <w:r>
                    <w:rPr>
                      <w:rFonts w:hint="eastAsia" w:cs="Times New Roman"/>
                      <w:color w:val="auto"/>
                      <w:kern w:val="0"/>
                      <w:szCs w:val="21"/>
                      <w:lang w:eastAsia="zh-CN"/>
                    </w:rPr>
                    <w:t>（</w:t>
                  </w:r>
                  <w:r>
                    <w:rPr>
                      <w:rFonts w:hint="default" w:ascii="Times New Roman" w:hAnsi="Times New Roman" w:eastAsia="宋体" w:cs="Times New Roman"/>
                      <w:color w:val="auto"/>
                      <w:kern w:val="0"/>
                      <w:szCs w:val="21"/>
                    </w:rPr>
                    <w:t>GB12348-2008)表1中</w:t>
                  </w:r>
                  <w:r>
                    <w:rPr>
                      <w:rFonts w:hint="eastAsia" w:cs="Times New Roman"/>
                      <w:color w:val="auto"/>
                      <w:kern w:val="0"/>
                      <w:szCs w:val="21"/>
                      <w:lang w:val="en-US" w:eastAsia="zh-CN"/>
                    </w:rPr>
                    <w:t>2类标准</w:t>
                  </w:r>
                </w:p>
              </w:tc>
              <w:tc>
                <w:tcPr>
                  <w:tcW w:w="1584" w:type="dxa"/>
                  <w:tcBorders>
                    <w:tl2br w:val="nil"/>
                    <w:tr2bl w:val="nil"/>
                  </w:tcBorders>
                  <w:noWrap w:val="0"/>
                  <w:vAlign w:val="center"/>
                </w:tcPr>
                <w:p>
                  <w:pPr>
                    <w:spacing w:line="320" w:lineRule="exact"/>
                    <w:jc w:val="center"/>
                    <w:rPr>
                      <w:rFonts w:hint="default" w:ascii="Times New Roman" w:hAnsi="Times New Roman" w:eastAsia="宋体" w:cs="Times New Roman"/>
                      <w:color w:val="auto"/>
                      <w:spacing w:val="5"/>
                      <w:szCs w:val="21"/>
                      <w:lang w:val="en-US" w:eastAsia="zh-CN"/>
                    </w:rPr>
                  </w:pPr>
                  <w:r>
                    <w:rPr>
                      <w:rFonts w:hint="eastAsia" w:ascii="Times New Roman" w:hAnsi="Times New Roman" w:eastAsia="宋体" w:cs="Times New Roman"/>
                      <w:color w:val="auto"/>
                      <w:spacing w:val="5"/>
                      <w:szCs w:val="21"/>
                      <w:lang w:val="en-US" w:eastAsia="zh-CN"/>
                    </w:rPr>
                    <w:t>60</w:t>
                  </w:r>
                  <w:r>
                    <w:rPr>
                      <w:rFonts w:hint="default" w:ascii="Times New Roman" w:hAnsi="Times New Roman" w:eastAsia="宋体" w:cs="Times New Roman"/>
                      <w:color w:val="auto"/>
                      <w:spacing w:val="5"/>
                      <w:szCs w:val="21"/>
                      <w:lang w:val="en-US" w:eastAsia="zh-CN"/>
                    </w:rPr>
                    <w:t>dB（A）</w:t>
                  </w:r>
                </w:p>
              </w:tc>
              <w:tc>
                <w:tcPr>
                  <w:tcW w:w="1586" w:type="dxa"/>
                  <w:tcBorders>
                    <w:tl2br w:val="nil"/>
                    <w:tr2bl w:val="nil"/>
                  </w:tcBorders>
                  <w:noWrap w:val="0"/>
                  <w:vAlign w:val="center"/>
                </w:tcPr>
                <w:p>
                  <w:pPr>
                    <w:spacing w:line="320" w:lineRule="exact"/>
                    <w:jc w:val="center"/>
                    <w:rPr>
                      <w:rFonts w:hint="default" w:ascii="Times New Roman" w:hAnsi="Times New Roman" w:eastAsia="宋体" w:cs="Times New Roman"/>
                      <w:color w:val="auto"/>
                      <w:spacing w:val="5"/>
                      <w:szCs w:val="21"/>
                      <w:lang w:val="en-US" w:eastAsia="zh-CN"/>
                    </w:rPr>
                  </w:pPr>
                  <w:r>
                    <w:rPr>
                      <w:rFonts w:hint="eastAsia" w:ascii="Times New Roman" w:hAnsi="Times New Roman" w:eastAsia="宋体" w:cs="Times New Roman"/>
                      <w:color w:val="auto"/>
                      <w:spacing w:val="5"/>
                      <w:szCs w:val="21"/>
                      <w:lang w:val="en-US" w:eastAsia="zh-CN"/>
                    </w:rPr>
                    <w:t>50</w:t>
                  </w:r>
                  <w:r>
                    <w:rPr>
                      <w:rFonts w:hint="default" w:ascii="Times New Roman" w:hAnsi="Times New Roman" w:eastAsia="宋体" w:cs="Times New Roman"/>
                      <w:color w:val="auto"/>
                      <w:spacing w:val="5"/>
                      <w:szCs w:val="21"/>
                      <w:lang w:val="en-US" w:eastAsia="zh-CN"/>
                    </w:rPr>
                    <w:t>dB（A）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445" w:type="dxa"/>
                  <w:tcBorders>
                    <w:tl2br w:val="nil"/>
                    <w:tr2bl w:val="nil"/>
                  </w:tcBorders>
                  <w:shd w:val="clear" w:color="auto" w:fill="auto"/>
                  <w:noWrap w:val="0"/>
                  <w:vAlign w:val="center"/>
                </w:tcPr>
                <w:p>
                  <w:pPr>
                    <w:spacing w:line="320" w:lineRule="exact"/>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《工业企业厂界环境噪声排放标准》</w:t>
                  </w:r>
                  <w:r>
                    <w:rPr>
                      <w:rFonts w:hint="eastAsia" w:cs="Times New Roman"/>
                      <w:color w:val="auto"/>
                      <w:kern w:val="0"/>
                      <w:szCs w:val="21"/>
                      <w:lang w:eastAsia="zh-CN"/>
                    </w:rPr>
                    <w:t>（</w:t>
                  </w:r>
                  <w:r>
                    <w:rPr>
                      <w:rFonts w:hint="default" w:ascii="Times New Roman" w:hAnsi="Times New Roman" w:eastAsia="宋体" w:cs="Times New Roman"/>
                      <w:color w:val="auto"/>
                      <w:kern w:val="0"/>
                      <w:szCs w:val="21"/>
                    </w:rPr>
                    <w:t>GB12348-2008)表1中</w:t>
                  </w:r>
                  <w:r>
                    <w:rPr>
                      <w:rFonts w:hint="eastAsia" w:cs="Times New Roman"/>
                      <w:color w:val="auto"/>
                      <w:kern w:val="0"/>
                      <w:szCs w:val="21"/>
                      <w:lang w:val="en-US" w:eastAsia="zh-CN"/>
                    </w:rPr>
                    <w:t>4类标准</w:t>
                  </w:r>
                </w:p>
              </w:tc>
              <w:tc>
                <w:tcPr>
                  <w:tcW w:w="1584" w:type="dxa"/>
                  <w:tcBorders>
                    <w:tl2br w:val="nil"/>
                    <w:tr2bl w:val="nil"/>
                  </w:tcBorders>
                  <w:noWrap w:val="0"/>
                  <w:vAlign w:val="center"/>
                </w:tcPr>
                <w:p>
                  <w:pPr>
                    <w:spacing w:line="320" w:lineRule="exact"/>
                    <w:jc w:val="center"/>
                    <w:rPr>
                      <w:rFonts w:hint="eastAsia"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70</w:t>
                  </w:r>
                  <w:r>
                    <w:rPr>
                      <w:rFonts w:hint="default" w:ascii="Times New Roman" w:hAnsi="Times New Roman" w:eastAsia="宋体" w:cs="Times New Roman"/>
                      <w:color w:val="auto"/>
                      <w:kern w:val="0"/>
                      <w:szCs w:val="21"/>
                      <w:lang w:val="en-US" w:eastAsia="zh-CN"/>
                    </w:rPr>
                    <w:t>dB（A）</w:t>
                  </w:r>
                </w:p>
              </w:tc>
              <w:tc>
                <w:tcPr>
                  <w:tcW w:w="1586" w:type="dxa"/>
                  <w:tcBorders>
                    <w:tl2br w:val="nil"/>
                    <w:tr2bl w:val="nil"/>
                  </w:tcBorders>
                  <w:noWrap w:val="0"/>
                  <w:vAlign w:val="center"/>
                </w:tcPr>
                <w:p>
                  <w:pPr>
                    <w:spacing w:line="320" w:lineRule="exact"/>
                    <w:jc w:val="center"/>
                    <w:rPr>
                      <w:rFonts w:hint="eastAsia" w:ascii="Times New Roman" w:hAnsi="Times New Roman" w:eastAsia="宋体" w:cs="Times New Roman"/>
                      <w:color w:val="auto"/>
                      <w:spacing w:val="5"/>
                      <w:szCs w:val="21"/>
                      <w:lang w:val="en-US" w:eastAsia="zh-CN"/>
                    </w:rPr>
                  </w:pPr>
                  <w:r>
                    <w:rPr>
                      <w:rFonts w:hint="eastAsia" w:ascii="Times New Roman" w:hAnsi="Times New Roman" w:eastAsia="宋体" w:cs="Times New Roman"/>
                      <w:color w:val="auto"/>
                      <w:spacing w:val="5"/>
                      <w:szCs w:val="21"/>
                      <w:lang w:val="en-US" w:eastAsia="zh-CN"/>
                    </w:rPr>
                    <w:t>55</w:t>
                  </w:r>
                  <w:r>
                    <w:rPr>
                      <w:rFonts w:hint="default" w:ascii="Times New Roman" w:hAnsi="Times New Roman" w:eastAsia="宋体" w:cs="Times New Roman"/>
                      <w:color w:val="auto"/>
                      <w:spacing w:val="5"/>
                      <w:szCs w:val="21"/>
                      <w:lang w:val="en-US" w:eastAsia="zh-CN"/>
                    </w:rPr>
                    <w:t>dB（A）</w:t>
                  </w:r>
                </w:p>
              </w:tc>
            </w:tr>
          </w:tbl>
          <w:p>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固体废物排放标准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color w:val="auto"/>
                <w:lang w:val="en-US" w:eastAsia="zh-CN"/>
              </w:rPr>
            </w:pPr>
            <w:r>
              <w:rPr>
                <w:rFonts w:hint="default" w:ascii="Times New Roman" w:hAnsi="Times New Roman" w:eastAsia="宋体" w:cs="Times New Roman"/>
                <w:color w:val="auto"/>
                <w:sz w:val="24"/>
                <w:szCs w:val="24"/>
                <w:lang w:val="en-US" w:eastAsia="zh-CN"/>
              </w:rPr>
              <w:t>本项目运营期一般固体废物执行《一般工业固体废物贮存和填埋污染控制标准》（GB 18599-2020）</w:t>
            </w:r>
            <w:r>
              <w:rPr>
                <w:rFonts w:hint="eastAsia"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267" w:hRule="atLeast"/>
          <w:jc w:val="center"/>
        </w:trPr>
        <w:tc>
          <w:tcPr>
            <w:tcW w:w="804" w:type="dxa"/>
            <w:noWrap w:val="0"/>
            <w:vAlign w:val="center"/>
          </w:tcPr>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总量</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控制</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 w:val="24"/>
                <w:szCs w:val="24"/>
              </w:rPr>
              <w:t>指标</w:t>
            </w:r>
          </w:p>
        </w:tc>
        <w:tc>
          <w:tcPr>
            <w:tcW w:w="8834" w:type="dxa"/>
            <w:noWrap w:val="0"/>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根据《关于印发〈“十五五” 污染减排工作方案编制技术指南〉的通知》，大气总量指标为NOx和VOCs，水污染物总量指标为COD、总磷。</w:t>
            </w:r>
            <w:r>
              <w:rPr>
                <w:rFonts w:hint="default" w:ascii="Times New Roman" w:hAnsi="Times New Roman" w:eastAsia="宋体" w:cs="Times New Roman"/>
                <w:color w:val="auto"/>
                <w:sz w:val="24"/>
                <w:szCs w:val="24"/>
                <w:lang w:val="en-US" w:eastAsia="zh-CN"/>
              </w:rPr>
              <w:t>本项目</w:t>
            </w:r>
            <w:r>
              <w:rPr>
                <w:rFonts w:hint="eastAsia" w:cs="Times New Roman"/>
                <w:color w:val="auto"/>
                <w:sz w:val="24"/>
                <w:szCs w:val="24"/>
                <w:lang w:val="en-US" w:eastAsia="zh-CN"/>
              </w:rPr>
              <w:t>涉及的总量控制指标为NOx，</w:t>
            </w:r>
            <w:r>
              <w:rPr>
                <w:rFonts w:hint="default" w:ascii="Times New Roman" w:hAnsi="Times New Roman" w:eastAsia="宋体" w:cs="Times New Roman"/>
                <w:color w:val="auto"/>
                <w:sz w:val="24"/>
                <w:szCs w:val="24"/>
                <w:lang w:val="en-US" w:eastAsia="zh-CN"/>
              </w:rPr>
              <w:t>总量控制指标见下表。</w:t>
            </w:r>
          </w:p>
          <w:p>
            <w:pPr>
              <w:pStyle w:val="80"/>
              <w:adjustRightInd/>
              <w:snapToGrid/>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sz w:val="21"/>
                <w:szCs w:val="21"/>
                <w:highlight w:val="none"/>
                <w:lang w:val="en-US" w:eastAsia="zh-CN"/>
              </w:rPr>
              <w:t>表3-</w:t>
            </w:r>
            <w:r>
              <w:rPr>
                <w:rFonts w:hint="eastAsia" w:cs="Times New Roman"/>
                <w:b/>
                <w:bCs/>
                <w:color w:val="auto"/>
                <w:sz w:val="21"/>
                <w:szCs w:val="21"/>
                <w:highlight w:val="none"/>
                <w:lang w:val="en-US" w:eastAsia="zh-CN"/>
              </w:rPr>
              <w:t xml:space="preserve">7 </w:t>
            </w:r>
            <w:r>
              <w:rPr>
                <w:rFonts w:hint="default" w:ascii="Times New Roman" w:hAnsi="Times New Roman" w:cs="Times New Roman"/>
                <w:b/>
                <w:bCs/>
                <w:color w:val="auto"/>
                <w:sz w:val="21"/>
                <w:szCs w:val="21"/>
                <w:highlight w:val="none"/>
                <w:lang w:val="en-US" w:eastAsia="zh-CN"/>
              </w:rPr>
              <w:t>本项目总量控制指标情况表  单位：t/a</w:t>
            </w:r>
          </w:p>
          <w:tbl>
            <w:tblPr>
              <w:tblStyle w:val="31"/>
              <w:tblW w:w="8616"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19"/>
              <w:gridCol w:w="429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319" w:type="dxa"/>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4297" w:type="dxa"/>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319" w:type="dxa"/>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氮氧化物</w:t>
                  </w:r>
                </w:p>
              </w:tc>
              <w:tc>
                <w:tcPr>
                  <w:tcW w:w="429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0.938</w:t>
                  </w:r>
                </w:p>
              </w:tc>
            </w:tr>
          </w:tbl>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auto"/>
                <w:kern w:val="0"/>
                <w:szCs w:val="21"/>
                <w:lang w:val="en-US" w:eastAsia="zh-CN"/>
              </w:rPr>
            </w:pPr>
          </w:p>
        </w:tc>
      </w:tr>
    </w:tbl>
    <w:p>
      <w:pPr>
        <w:pStyle w:val="25"/>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eastAsia="黑体" w:cs="Times New Roman"/>
          <w:snapToGrid w:val="0"/>
          <w:color w:val="auto"/>
          <w:sz w:val="36"/>
          <w:szCs w:val="36"/>
        </w:rPr>
        <w:br w:type="page"/>
      </w:r>
      <w:bookmarkStart w:id="19" w:name="_Toc2506"/>
      <w:bookmarkStart w:id="20" w:name="_Toc11491"/>
      <w:r>
        <w:rPr>
          <w:rFonts w:hint="default" w:ascii="Times New Roman" w:hAnsi="Times New Roman" w:eastAsia="黑体" w:cs="Times New Roman"/>
          <w:snapToGrid w:val="0"/>
          <w:color w:val="auto"/>
          <w:sz w:val="30"/>
          <w:szCs w:val="30"/>
        </w:rPr>
        <w:t>四、主要环境影响和保护措施</w:t>
      </w:r>
      <w:bookmarkEnd w:id="19"/>
      <w:bookmarkEnd w:id="20"/>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6"/>
        <w:gridCol w:w="88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jc w:val="center"/>
        </w:trPr>
        <w:tc>
          <w:tcPr>
            <w:tcW w:w="756" w:type="dxa"/>
            <w:noWrap w:val="0"/>
            <w:tcMar>
              <w:left w:w="28" w:type="dxa"/>
              <w:right w:w="28" w:type="dxa"/>
            </w:tcMar>
            <w:vAlign w:val="center"/>
          </w:tcPr>
          <w:p>
            <w:pPr>
              <w:pStyle w:val="25"/>
              <w:adjustRightInd w:val="0"/>
              <w:snapToGrid w:val="0"/>
              <w:spacing w:before="0" w:beforeAutospacing="0" w:after="0" w:afterAutospacing="0"/>
              <w:jc w:val="center"/>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施工</w:t>
            </w:r>
          </w:p>
          <w:p>
            <w:pPr>
              <w:pStyle w:val="25"/>
              <w:adjustRightInd w:val="0"/>
              <w:snapToGrid w:val="0"/>
              <w:spacing w:before="0" w:beforeAutospacing="0" w:after="0" w:afterAutospacing="0"/>
              <w:jc w:val="center"/>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期环</w:t>
            </w:r>
          </w:p>
          <w:p>
            <w:pPr>
              <w:pStyle w:val="25"/>
              <w:adjustRightInd w:val="0"/>
              <w:snapToGrid w:val="0"/>
              <w:spacing w:before="0" w:beforeAutospacing="0" w:after="0" w:afterAutospacing="0"/>
              <w:jc w:val="center"/>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境保</w:t>
            </w:r>
          </w:p>
          <w:p>
            <w:pPr>
              <w:pStyle w:val="25"/>
              <w:adjustRightInd w:val="0"/>
              <w:snapToGrid w:val="0"/>
              <w:spacing w:before="0" w:beforeAutospacing="0" w:after="0" w:afterAutospacing="0"/>
              <w:jc w:val="center"/>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护措</w:t>
            </w:r>
          </w:p>
          <w:p>
            <w:pPr>
              <w:pStyle w:val="25"/>
              <w:adjustRightInd w:val="0"/>
              <w:snapToGrid w:val="0"/>
              <w:spacing w:before="0" w:beforeAutospacing="0" w:after="0" w:afterAutospacing="0"/>
              <w:jc w:val="center"/>
              <w:rPr>
                <w:rFonts w:hint="default" w:ascii="Times New Roman" w:hAnsi="Times New Roman" w:cs="Times New Roman"/>
                <w:bCs/>
                <w:color w:val="auto"/>
                <w:kern w:val="2"/>
                <w:sz w:val="21"/>
                <w:szCs w:val="21"/>
              </w:rPr>
            </w:pPr>
            <w:r>
              <w:rPr>
                <w:rFonts w:hint="default" w:ascii="Times New Roman" w:hAnsi="Times New Roman" w:cs="Times New Roman"/>
                <w:color w:val="auto"/>
                <w:kern w:val="2"/>
                <w:sz w:val="24"/>
                <w:szCs w:val="24"/>
              </w:rPr>
              <w:t>施</w:t>
            </w:r>
          </w:p>
        </w:tc>
        <w:tc>
          <w:tcPr>
            <w:tcW w:w="888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施工期污染主要是运输汽车及施工机械产生的噪声、扬尘和施工人员产生的固体废物、生活污水等。本项目施工期内容主要为设备的安装。</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一、废水</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施工期</w:t>
            </w:r>
            <w:r>
              <w:rPr>
                <w:rFonts w:hint="eastAsia"/>
                <w:color w:val="auto"/>
                <w:sz w:val="24"/>
                <w:lang w:val="en-US" w:eastAsia="zh-CN"/>
              </w:rPr>
              <w:t>设置沉淀池，</w:t>
            </w:r>
            <w:r>
              <w:rPr>
                <w:rFonts w:hint="eastAsia"/>
                <w:color w:val="auto"/>
                <w:sz w:val="24"/>
              </w:rPr>
              <w:t>施工废水沉淀后用于厂区洒水降尘。施工人员生活污水排入防渗旱厕，定期清掏。</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lang w:val="en-US" w:eastAsia="zh-CN"/>
              </w:rPr>
              <w:t>二、</w:t>
            </w:r>
            <w:r>
              <w:rPr>
                <w:rFonts w:hint="eastAsia"/>
                <w:color w:val="auto"/>
                <w:sz w:val="24"/>
              </w:rPr>
              <w:t>废气</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eastAsia="宋体"/>
                <w:color w:val="auto"/>
                <w:sz w:val="24"/>
                <w:lang w:val="en-US" w:eastAsia="zh-CN"/>
              </w:rPr>
            </w:pPr>
            <w:r>
              <w:rPr>
                <w:rFonts w:hint="eastAsia"/>
                <w:color w:val="auto"/>
                <w:sz w:val="24"/>
                <w:lang w:val="en-US" w:eastAsia="zh-CN"/>
              </w:rPr>
              <w:t>施工场地设置围挡，地面进行硬化，</w:t>
            </w:r>
            <w:r>
              <w:rPr>
                <w:rFonts w:hint="eastAsia"/>
                <w:color w:val="auto"/>
                <w:sz w:val="24"/>
              </w:rPr>
              <w:t>施工场地洒水抑尘，</w:t>
            </w:r>
            <w:r>
              <w:rPr>
                <w:rFonts w:hint="eastAsia"/>
                <w:color w:val="auto"/>
                <w:sz w:val="24"/>
                <w:lang w:val="en-US" w:eastAsia="zh-CN"/>
              </w:rPr>
              <w:t>进出车辆进行冲洗，运输车辆采用苫布苫盖，</w:t>
            </w:r>
            <w:r>
              <w:rPr>
                <w:rFonts w:hint="eastAsia"/>
                <w:color w:val="auto"/>
                <w:sz w:val="24"/>
              </w:rPr>
              <w:t>防止扬尘对周围环境空气的影响。</w:t>
            </w:r>
            <w:r>
              <w:rPr>
                <w:rFonts w:hint="eastAsia"/>
                <w:color w:val="auto"/>
                <w:sz w:val="24"/>
                <w:lang w:val="en-US" w:eastAsia="zh-CN"/>
              </w:rPr>
              <w:t>施工期</w:t>
            </w:r>
            <w:r>
              <w:rPr>
                <w:rFonts w:hint="default" w:ascii="Times New Roman" w:hAnsi="Times New Roman" w:eastAsia="宋体" w:cs="Times New Roman"/>
                <w:color w:val="auto"/>
                <w:sz w:val="24"/>
                <w:szCs w:val="24"/>
                <w:lang w:val="en-US" w:eastAsia="zh-CN"/>
              </w:rPr>
              <w:t>颗粒物无组织排放</w:t>
            </w:r>
            <w:r>
              <w:rPr>
                <w:rFonts w:hint="eastAsia" w:cs="Times New Roman"/>
                <w:color w:val="auto"/>
                <w:sz w:val="24"/>
                <w:szCs w:val="24"/>
                <w:lang w:val="en-US" w:eastAsia="zh-CN"/>
              </w:rPr>
              <w:t>满足</w:t>
            </w:r>
            <w:r>
              <w:rPr>
                <w:rFonts w:hint="default" w:ascii="Times New Roman" w:hAnsi="Times New Roman" w:eastAsia="宋体" w:cs="Times New Roman"/>
                <w:color w:val="auto"/>
                <w:sz w:val="24"/>
                <w:szCs w:val="24"/>
                <w:lang w:val="en-US" w:eastAsia="zh-CN"/>
              </w:rPr>
              <w:t>《大气污染物综合排放标准》（GB16297-1996）表2中无组织排放浓度监控限值要求。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三、噪声</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施工期选用低噪声设备，加强运输车辆管理，夜间停止施工等措施，采取</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color w:val="auto"/>
                <w:sz w:val="24"/>
              </w:rPr>
            </w:pPr>
            <w:r>
              <w:rPr>
                <w:rFonts w:hint="eastAsia"/>
                <w:color w:val="auto"/>
                <w:sz w:val="24"/>
              </w:rPr>
              <w:t>措施后场界噪声符合</w:t>
            </w:r>
            <w:r>
              <w:rPr>
                <w:rFonts w:hint="eastAsia"/>
                <w:b w:val="0"/>
                <w:bCs w:val="0"/>
                <w:color w:val="auto"/>
                <w:sz w:val="24"/>
              </w:rPr>
              <w:t>《建筑施工噪声排放标准》</w:t>
            </w:r>
            <w:r>
              <w:rPr>
                <w:rFonts w:hint="eastAsia"/>
                <w:b w:val="0"/>
                <w:bCs w:val="0"/>
                <w:color w:val="auto"/>
                <w:sz w:val="24"/>
                <w:lang w:eastAsia="zh-CN"/>
              </w:rPr>
              <w:t>（</w:t>
            </w:r>
            <w:r>
              <w:rPr>
                <w:rFonts w:hint="eastAsia"/>
                <w:b w:val="0"/>
                <w:bCs w:val="0"/>
                <w:color w:val="auto"/>
                <w:sz w:val="24"/>
              </w:rPr>
              <w:t>GB12523-20</w:t>
            </w:r>
            <w:r>
              <w:rPr>
                <w:rFonts w:hint="eastAsia"/>
                <w:b w:val="0"/>
                <w:bCs w:val="0"/>
                <w:color w:val="auto"/>
                <w:sz w:val="24"/>
                <w:lang w:val="en-US" w:eastAsia="zh-CN"/>
              </w:rPr>
              <w:t>25）</w:t>
            </w:r>
            <w:r>
              <w:rPr>
                <w:rFonts w:hint="eastAsia"/>
                <w:b w:val="0"/>
                <w:bCs w:val="0"/>
                <w:color w:val="auto"/>
                <w:sz w:val="24"/>
              </w:rPr>
              <w:t>要求</w:t>
            </w:r>
            <w:r>
              <w:rPr>
                <w:rFonts w:hint="eastAsia"/>
                <w:color w:val="auto"/>
                <w:sz w:val="24"/>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四、固体废物</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auto"/>
                <w:spacing w:val="-10"/>
                <w:szCs w:val="21"/>
                <w:lang w:val="en-US" w:eastAsia="zh-CN"/>
              </w:rPr>
            </w:pPr>
            <w:r>
              <w:rPr>
                <w:rFonts w:hint="eastAsia"/>
                <w:color w:val="auto"/>
                <w:sz w:val="24"/>
              </w:rPr>
              <w:t>本项目施工人员约</w:t>
            </w:r>
            <w:r>
              <w:rPr>
                <w:rFonts w:hint="eastAsia"/>
                <w:color w:val="auto"/>
                <w:sz w:val="24"/>
                <w:lang w:val="en-US" w:eastAsia="zh-CN"/>
              </w:rPr>
              <w:t>10</w:t>
            </w:r>
            <w:r>
              <w:rPr>
                <w:rFonts w:hint="eastAsia"/>
                <w:color w:val="auto"/>
                <w:sz w:val="24"/>
              </w:rPr>
              <w:t>人，按照每人每天产生垃圾 0.5kg，工作日以</w:t>
            </w:r>
            <w:r>
              <w:rPr>
                <w:rFonts w:hint="eastAsia"/>
                <w:color w:val="auto"/>
                <w:sz w:val="24"/>
                <w:lang w:val="en-US" w:eastAsia="zh-CN"/>
              </w:rPr>
              <w:t>30</w:t>
            </w:r>
            <w:r>
              <w:rPr>
                <w:rFonts w:hint="eastAsia"/>
                <w:color w:val="auto"/>
                <w:sz w:val="24"/>
              </w:rPr>
              <w:t>d 计算，则生活垃圾的产生量为0.</w:t>
            </w:r>
            <w:r>
              <w:rPr>
                <w:rFonts w:hint="eastAsia"/>
                <w:color w:val="auto"/>
                <w:sz w:val="24"/>
                <w:lang w:val="en-US" w:eastAsia="zh-CN"/>
              </w:rPr>
              <w:t>15</w:t>
            </w:r>
            <w:r>
              <w:rPr>
                <w:rFonts w:hint="eastAsia"/>
                <w:color w:val="auto"/>
                <w:sz w:val="24"/>
              </w:rPr>
              <w:t>t/a。产生的生活垃圾定点袋装后交由市政部门统一处理。建筑垃圾运送至指定地点处置，</w:t>
            </w:r>
            <w:r>
              <w:rPr>
                <w:rFonts w:hint="eastAsia"/>
                <w:color w:val="auto"/>
                <w:sz w:val="24"/>
                <w:lang w:val="en-US" w:eastAsia="zh-CN"/>
              </w:rPr>
              <w:t>沉淀池污泥拉运至垃圾填埋场处置，</w:t>
            </w:r>
            <w:r>
              <w:rPr>
                <w:rFonts w:hint="eastAsia"/>
                <w:color w:val="auto"/>
                <w:sz w:val="24"/>
              </w:rPr>
              <w:t>不对外随意排放，对当地环境影响较小</w:t>
            </w:r>
            <w:r>
              <w:rPr>
                <w:rFonts w:hint="eastAsia"/>
                <w:color w:val="auto"/>
                <w:sz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10" w:hRule="atLeast"/>
          <w:jc w:val="center"/>
        </w:trPr>
        <w:tc>
          <w:tcPr>
            <w:tcW w:w="756" w:type="dxa"/>
            <w:noWrap w:val="0"/>
            <w:tcMar>
              <w:left w:w="28" w:type="dxa"/>
              <w:right w:w="28" w:type="dxa"/>
            </w:tcMar>
            <w:vAlign w:val="center"/>
          </w:tcPr>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运营</w:t>
            </w:r>
          </w:p>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期环</w:t>
            </w:r>
          </w:p>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境影</w:t>
            </w:r>
          </w:p>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响和</w:t>
            </w:r>
          </w:p>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保护</w:t>
            </w:r>
          </w:p>
          <w:p>
            <w:pPr>
              <w:adjustRightInd w:val="0"/>
              <w:snapToGrid w:val="0"/>
              <w:jc w:val="center"/>
              <w:rPr>
                <w:rFonts w:hint="default" w:ascii="Times New Roman" w:hAnsi="Times New Roman" w:cs="Times New Roman"/>
                <w:bCs/>
                <w:color w:val="auto"/>
                <w:szCs w:val="21"/>
              </w:rPr>
            </w:pPr>
            <w:r>
              <w:rPr>
                <w:rFonts w:hint="default" w:ascii="Times New Roman" w:hAnsi="Times New Roman" w:cs="Times New Roman"/>
                <w:bCs/>
                <w:color w:val="auto"/>
                <w:sz w:val="24"/>
                <w:szCs w:val="24"/>
              </w:rPr>
              <w:t>措施</w:t>
            </w:r>
          </w:p>
        </w:tc>
        <w:tc>
          <w:tcPr>
            <w:tcW w:w="8882" w:type="dxa"/>
            <w:noWrap w:val="0"/>
            <w:vAlign w:val="top"/>
          </w:tcPr>
          <w:p>
            <w:pPr>
              <w:keepNext w:val="0"/>
              <w:keepLines w:val="0"/>
              <w:pageBreakBefore w:val="0"/>
              <w:widowControl w:val="0"/>
              <w:kinsoku/>
              <w:wordWrap/>
              <w:overflowPunct/>
              <w:topLinePunct w:val="0"/>
              <w:autoSpaceDE/>
              <w:autoSpaceDN/>
              <w:bidi w:val="0"/>
              <w:adjustRightInd w:val="0"/>
              <w:snapToGrid w:val="0"/>
              <w:spacing w:line="360" w:lineRule="auto"/>
              <w:ind w:firstLine="442" w:firstLineChars="200"/>
              <w:jc w:val="both"/>
              <w:textAlignment w:val="auto"/>
              <w:rPr>
                <w:rFonts w:hint="default" w:ascii="Times New Roman" w:hAnsi="Times New Roman" w:eastAsia="宋体" w:cs="Times New Roman"/>
                <w:b/>
                <w:bCs w:val="0"/>
                <w:color w:val="auto"/>
                <w:spacing w:val="-10"/>
                <w:sz w:val="24"/>
                <w:szCs w:val="24"/>
                <w:lang w:val="en-US" w:eastAsia="zh-CN"/>
              </w:rPr>
            </w:pPr>
            <w:r>
              <w:rPr>
                <w:rFonts w:hint="eastAsia" w:ascii="Times New Roman" w:hAnsi="Times New Roman" w:eastAsia="宋体" w:cs="Times New Roman"/>
                <w:b/>
                <w:bCs w:val="0"/>
                <w:color w:val="auto"/>
                <w:spacing w:val="-10"/>
                <w:sz w:val="24"/>
                <w:szCs w:val="24"/>
                <w:lang w:val="en-US" w:eastAsia="zh-CN"/>
              </w:rPr>
              <w:t>一</w:t>
            </w:r>
            <w:r>
              <w:rPr>
                <w:rFonts w:hint="default" w:ascii="Times New Roman" w:hAnsi="Times New Roman" w:eastAsia="宋体" w:cs="Times New Roman"/>
                <w:b/>
                <w:bCs w:val="0"/>
                <w:color w:val="auto"/>
                <w:spacing w:val="-10"/>
                <w:sz w:val="24"/>
                <w:szCs w:val="24"/>
                <w:lang w:val="en-US" w:eastAsia="zh-CN"/>
              </w:rPr>
              <w:t>、废气</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eastAsia" w:ascii="Times New Roman" w:hAnsi="Times New Roman" w:eastAsia="宋体" w:cs="Times New Roman"/>
                <w:bCs/>
                <w:color w:val="auto"/>
                <w:spacing w:val="-10"/>
                <w:sz w:val="24"/>
                <w:szCs w:val="24"/>
                <w:lang w:val="en-US" w:eastAsia="zh-CN"/>
              </w:rPr>
              <w:t>1、产污核算</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本项目主要废气源为</w:t>
            </w:r>
            <w:r>
              <w:rPr>
                <w:rFonts w:hint="eastAsia" w:cs="Times New Roman"/>
                <w:bCs/>
                <w:color w:val="auto"/>
                <w:spacing w:val="-10"/>
                <w:sz w:val="24"/>
                <w:szCs w:val="24"/>
                <w:lang w:val="en-US" w:eastAsia="zh-CN"/>
              </w:rPr>
              <w:t>粮食</w:t>
            </w:r>
            <w:r>
              <w:rPr>
                <w:rFonts w:hint="default" w:ascii="Times New Roman" w:hAnsi="Times New Roman" w:eastAsia="宋体" w:cs="Times New Roman"/>
                <w:bCs/>
                <w:color w:val="auto"/>
                <w:spacing w:val="-10"/>
                <w:sz w:val="24"/>
                <w:szCs w:val="24"/>
                <w:lang w:val="en-US" w:eastAsia="zh-CN"/>
              </w:rPr>
              <w:t>装卸、筛分、输送等过程产生的颗粒物</w:t>
            </w:r>
            <w:r>
              <w:rPr>
                <w:rFonts w:hint="eastAsia"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玉米烘干过程产生的颗粒物</w:t>
            </w:r>
            <w:r>
              <w:rPr>
                <w:rFonts w:hint="eastAsia"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热风炉产生的含颗粒物、二氧化硫、氮氧化物的烟气</w:t>
            </w:r>
            <w:r>
              <w:rPr>
                <w:rFonts w:hint="eastAsia" w:cs="Times New Roman"/>
                <w:bCs/>
                <w:color w:val="auto"/>
                <w:spacing w:val="-10"/>
                <w:sz w:val="24"/>
                <w:szCs w:val="24"/>
                <w:lang w:val="en-US" w:eastAsia="zh-CN"/>
              </w:rPr>
              <w:t>。原粮主要为潮粮，产尘量可忽略不计</w:t>
            </w:r>
            <w:r>
              <w:rPr>
                <w:rFonts w:hint="default" w:ascii="Times New Roman" w:hAnsi="Times New Roman" w:eastAsia="宋体" w:cs="Times New Roman"/>
                <w:bCs/>
                <w:color w:val="auto"/>
                <w:spacing w:val="-10"/>
                <w:sz w:val="24"/>
                <w:szCs w:val="24"/>
                <w:lang w:val="en-US" w:eastAsia="zh-CN"/>
              </w:rPr>
              <w:t>。热风炉布袋除尘器及炉底定期清灰后，灰渣直接装袋封装，灰渣仓库临时堆放，产生少量粉尘可忽略不计。</w:t>
            </w:r>
            <w:r>
              <w:rPr>
                <w:rFonts w:hint="eastAsia" w:cs="Times New Roman"/>
                <w:bCs/>
                <w:color w:val="auto"/>
                <w:spacing w:val="-10"/>
                <w:sz w:val="24"/>
                <w:szCs w:val="24"/>
                <w:lang w:val="en-US" w:eastAsia="zh-CN"/>
              </w:rPr>
              <w:t>燃料库为封闭结构，生物质燃料采用装袋密闭储存，产生少量粉尘可忽略不计。</w:t>
            </w:r>
            <w:r>
              <w:rPr>
                <w:rFonts w:hint="default" w:ascii="Times New Roman" w:hAnsi="Times New Roman" w:eastAsia="宋体" w:cs="Times New Roman"/>
                <w:bCs/>
                <w:color w:val="auto"/>
                <w:spacing w:val="-10"/>
                <w:sz w:val="24"/>
                <w:szCs w:val="24"/>
                <w:lang w:val="en-US" w:eastAsia="zh-CN"/>
              </w:rPr>
              <w:t>为降低颗粒物排放量，本项目</w:t>
            </w:r>
            <w:r>
              <w:rPr>
                <w:rFonts w:hint="default" w:ascii="Times New Roman" w:hAnsi="Times New Roman" w:cs="Times New Roman"/>
                <w:color w:val="auto"/>
                <w:sz w:val="24"/>
                <w:szCs w:val="24"/>
              </w:rPr>
              <w:t>采取</w:t>
            </w:r>
            <w:r>
              <w:rPr>
                <w:rFonts w:hint="default" w:ascii="Times New Roman" w:hAnsi="Times New Roman" w:cs="Times New Roman"/>
                <w:color w:val="auto"/>
                <w:sz w:val="24"/>
                <w:szCs w:val="24"/>
                <w:lang w:val="en-US" w:eastAsia="zh-CN"/>
              </w:rPr>
              <w:t>粮食</w:t>
            </w:r>
            <w:r>
              <w:rPr>
                <w:rFonts w:hint="default" w:ascii="Times New Roman" w:hAnsi="Times New Roman" w:cs="Times New Roman"/>
                <w:color w:val="auto"/>
                <w:sz w:val="24"/>
                <w:szCs w:val="24"/>
              </w:rPr>
              <w:t>仓库</w:t>
            </w:r>
            <w:r>
              <w:rPr>
                <w:rFonts w:hint="default" w:ascii="Times New Roman" w:hAnsi="Times New Roman" w:cs="Times New Roman"/>
                <w:color w:val="auto"/>
                <w:sz w:val="24"/>
                <w:szCs w:val="24"/>
                <w:lang w:val="en-US" w:eastAsia="zh-CN"/>
              </w:rPr>
              <w:t>封闭</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输送传送带封闭设置</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运输车辆进入粮食仓库内装卸料</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装卸区设置遮挡设施，清选工艺采用封闭式清理筛；烘干塔体两侧排气孔设置折流挡板，有效降低颗粒物无组织排放量。热风炉</w:t>
            </w:r>
            <w:r>
              <w:rPr>
                <w:rFonts w:hint="eastAsia" w:cs="Times New Roman"/>
                <w:color w:val="auto"/>
                <w:sz w:val="24"/>
                <w:szCs w:val="24"/>
                <w:highlight w:val="none"/>
                <w:lang w:val="en-US" w:eastAsia="zh-CN"/>
              </w:rPr>
              <w:t>采用低氮燃烧技术，</w:t>
            </w:r>
            <w:r>
              <w:rPr>
                <w:rFonts w:hint="default" w:ascii="Times New Roman" w:hAnsi="Times New Roman" w:cs="Times New Roman"/>
                <w:color w:val="auto"/>
                <w:sz w:val="24"/>
                <w:szCs w:val="24"/>
                <w:lang w:val="en-US" w:eastAsia="zh-CN"/>
              </w:rPr>
              <w:t>烟气经布袋除尘器净化后由15m高烟囱高空排放。</w:t>
            </w:r>
            <w:r>
              <w:rPr>
                <w:rFonts w:hint="default" w:ascii="Times New Roman" w:hAnsi="Times New Roman" w:eastAsia="宋体" w:cs="Times New Roman"/>
                <w:bCs/>
                <w:color w:val="auto"/>
                <w:spacing w:val="-10"/>
                <w:sz w:val="24"/>
                <w:szCs w:val="24"/>
                <w:lang w:val="en-US" w:eastAsia="zh-CN"/>
              </w:rPr>
              <w:t>废气污染源源强核算内容如下：</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（1）装卸、输送粉尘</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本项目玉米装卸、输送过程中会产生废气，主要污染物为颗粒物，根据《逸散性工业粉尘控制技术》中谷物贮仓，卡车装卸粉尘系数为0.1kg/t（卸料），本项目</w:t>
            </w:r>
            <w:r>
              <w:rPr>
                <w:rFonts w:hint="eastAsia" w:cs="Times New Roman"/>
                <w:bCs/>
                <w:color w:val="auto"/>
                <w:spacing w:val="-10"/>
                <w:sz w:val="24"/>
                <w:szCs w:val="24"/>
                <w:highlight w:val="none"/>
                <w:lang w:val="en-US" w:eastAsia="zh-CN"/>
              </w:rPr>
              <w:t>玉米</w:t>
            </w:r>
            <w:r>
              <w:rPr>
                <w:rFonts w:hint="eastAsia" w:ascii="Times New Roman" w:hAnsi="Times New Roman" w:eastAsia="宋体" w:cs="Times New Roman"/>
                <w:bCs/>
                <w:color w:val="auto"/>
                <w:spacing w:val="-10"/>
                <w:sz w:val="24"/>
                <w:szCs w:val="24"/>
                <w:highlight w:val="none"/>
                <w:lang w:val="en-US" w:eastAsia="zh-CN"/>
              </w:rPr>
              <w:t>烘干</w:t>
            </w:r>
            <w:r>
              <w:rPr>
                <w:rFonts w:hint="default" w:ascii="Times New Roman" w:hAnsi="Times New Roman" w:eastAsia="宋体" w:cs="Times New Roman"/>
                <w:bCs/>
                <w:color w:val="auto"/>
                <w:spacing w:val="-10"/>
                <w:sz w:val="24"/>
                <w:szCs w:val="24"/>
                <w:highlight w:val="none"/>
                <w:lang w:val="en-US" w:eastAsia="zh-CN"/>
              </w:rPr>
              <w:t>装卸玉米量</w:t>
            </w:r>
            <w:r>
              <w:rPr>
                <w:rFonts w:hint="eastAsia" w:cs="Times New Roman"/>
                <w:bCs/>
                <w:color w:val="auto"/>
                <w:spacing w:val="-10"/>
                <w:sz w:val="24"/>
                <w:szCs w:val="24"/>
                <w:highlight w:val="none"/>
                <w:lang w:val="en-US" w:eastAsia="zh-CN"/>
              </w:rPr>
              <w:t>总计150</w:t>
            </w:r>
            <w:r>
              <w:rPr>
                <w:rFonts w:hint="eastAsia" w:ascii="Times New Roman" w:hAnsi="Times New Roman" w:eastAsia="宋体" w:cs="Times New Roman"/>
                <w:bCs/>
                <w:color w:val="auto"/>
                <w:spacing w:val="-10"/>
                <w:sz w:val="24"/>
                <w:szCs w:val="24"/>
                <w:highlight w:val="none"/>
                <w:lang w:val="en-US" w:eastAsia="zh-CN"/>
              </w:rPr>
              <w:t>00</w:t>
            </w:r>
            <w:r>
              <w:rPr>
                <w:rFonts w:hint="default" w:ascii="Times New Roman" w:hAnsi="Times New Roman" w:eastAsia="宋体" w:cs="Times New Roman"/>
                <w:bCs/>
                <w:color w:val="auto"/>
                <w:spacing w:val="-10"/>
                <w:sz w:val="24"/>
                <w:szCs w:val="24"/>
                <w:highlight w:val="none"/>
                <w:lang w:val="en-US" w:eastAsia="zh-CN"/>
              </w:rPr>
              <w:t>吨，粉尘产生量为</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t/a，粉尘产生速率为</w:t>
            </w:r>
            <w:r>
              <w:rPr>
                <w:rFonts w:hint="eastAsia" w:cs="Times New Roman"/>
                <w:bCs/>
                <w:color w:val="auto"/>
                <w:spacing w:val="-10"/>
                <w:sz w:val="24"/>
                <w:szCs w:val="24"/>
                <w:highlight w:val="none"/>
                <w:lang w:val="en-US" w:eastAsia="zh-CN"/>
              </w:rPr>
              <w:t>2.08</w:t>
            </w:r>
            <w:r>
              <w:rPr>
                <w:rFonts w:hint="default" w:ascii="Times New Roman" w:hAnsi="Times New Roman" w:eastAsia="宋体" w:cs="Times New Roman"/>
                <w:bCs/>
                <w:color w:val="auto"/>
                <w:spacing w:val="-10"/>
                <w:sz w:val="24"/>
                <w:szCs w:val="24"/>
                <w:highlight w:val="none"/>
                <w:lang w:val="en-US" w:eastAsia="zh-CN"/>
              </w:rPr>
              <w:t>kg/h，则装卸过程无组织排放粉尘为0.</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t/a，排放速率为</w:t>
            </w:r>
            <w:r>
              <w:rPr>
                <w:rFonts w:hint="eastAsia" w:cs="Times New Roman"/>
                <w:bCs/>
                <w:color w:val="auto"/>
                <w:spacing w:val="-10"/>
                <w:sz w:val="24"/>
                <w:szCs w:val="24"/>
                <w:highlight w:val="none"/>
                <w:lang w:val="en-US" w:eastAsia="zh-CN"/>
              </w:rPr>
              <w:t>0.21</w:t>
            </w:r>
            <w:r>
              <w:rPr>
                <w:rFonts w:hint="default" w:ascii="Times New Roman" w:hAnsi="Times New Roman" w:eastAsia="宋体" w:cs="Times New Roman"/>
                <w:bCs/>
                <w:color w:val="auto"/>
                <w:spacing w:val="-10"/>
                <w:sz w:val="24"/>
                <w:szCs w:val="24"/>
                <w:highlight w:val="none"/>
                <w:lang w:val="en-US" w:eastAsia="zh-CN"/>
              </w:rPr>
              <w:t>kg/h。</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（2）筛选粉尘</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本项目玉米进入粮仓之前进行筛分，筛分产生的粉尘根据《逸散性工业粉尘控制技术》中谷物贮仓，过筛工序逸散尘排放因子取0.1kg/t。筛分量为</w:t>
            </w:r>
            <w:r>
              <w:rPr>
                <w:rFonts w:hint="eastAsia" w:cs="Times New Roman"/>
                <w:bCs/>
                <w:color w:val="auto"/>
                <w:spacing w:val="-10"/>
                <w:sz w:val="24"/>
                <w:szCs w:val="24"/>
                <w:highlight w:val="none"/>
                <w:lang w:val="en-US" w:eastAsia="zh-CN"/>
              </w:rPr>
              <w:t>14998.5</w:t>
            </w:r>
            <w:r>
              <w:rPr>
                <w:rFonts w:hint="default" w:ascii="Times New Roman" w:hAnsi="Times New Roman" w:eastAsia="宋体" w:cs="Times New Roman"/>
                <w:bCs/>
                <w:color w:val="auto"/>
                <w:spacing w:val="-10"/>
                <w:sz w:val="24"/>
                <w:szCs w:val="24"/>
                <w:highlight w:val="none"/>
                <w:lang w:val="en-US" w:eastAsia="zh-CN"/>
              </w:rPr>
              <w:t>t，产生粉尘总量为</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t/a，产生速率为</w:t>
            </w:r>
            <w:r>
              <w:rPr>
                <w:rFonts w:hint="eastAsia" w:cs="Times New Roman"/>
                <w:bCs/>
                <w:color w:val="auto"/>
                <w:spacing w:val="-10"/>
                <w:sz w:val="24"/>
                <w:szCs w:val="24"/>
                <w:highlight w:val="none"/>
                <w:lang w:val="en-US" w:eastAsia="zh-CN"/>
              </w:rPr>
              <w:t>2.08</w:t>
            </w:r>
            <w:r>
              <w:rPr>
                <w:rFonts w:hint="default" w:ascii="Times New Roman" w:hAnsi="Times New Roman" w:eastAsia="宋体" w:cs="Times New Roman"/>
                <w:bCs/>
                <w:color w:val="auto"/>
                <w:spacing w:val="-10"/>
                <w:sz w:val="24"/>
                <w:szCs w:val="24"/>
                <w:highlight w:val="none"/>
                <w:lang w:val="en-US" w:eastAsia="zh-CN"/>
              </w:rPr>
              <w:t>kg/h，筛分设备密闭，产生的粉尘经设备自带布袋除尘器处理后排放，处理效率为9</w:t>
            </w:r>
            <w:r>
              <w:rPr>
                <w:rFonts w:hint="eastAsia" w:ascii="Times New Roman" w:hAnsi="Times New Roman" w:eastAsia="宋体" w:cs="Times New Roman"/>
                <w:bCs/>
                <w:color w:val="auto"/>
                <w:spacing w:val="-10"/>
                <w:sz w:val="24"/>
                <w:szCs w:val="24"/>
                <w:highlight w:val="none"/>
                <w:lang w:val="en-US" w:eastAsia="zh-CN"/>
              </w:rPr>
              <w:t>0</w:t>
            </w:r>
            <w:r>
              <w:rPr>
                <w:rFonts w:hint="default" w:ascii="Times New Roman" w:hAnsi="Times New Roman" w:eastAsia="宋体" w:cs="Times New Roman"/>
                <w:bCs/>
                <w:color w:val="auto"/>
                <w:spacing w:val="-10"/>
                <w:sz w:val="24"/>
                <w:szCs w:val="24"/>
                <w:highlight w:val="none"/>
                <w:lang w:val="en-US" w:eastAsia="zh-CN"/>
              </w:rPr>
              <w:t>%，则粉尘排放量为0.</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t/a，排放速率为0.</w:t>
            </w:r>
            <w:r>
              <w:rPr>
                <w:rFonts w:hint="eastAsia" w:cs="Times New Roman"/>
                <w:bCs/>
                <w:color w:val="auto"/>
                <w:spacing w:val="-10"/>
                <w:sz w:val="24"/>
                <w:szCs w:val="24"/>
                <w:highlight w:val="none"/>
                <w:lang w:val="en-US" w:eastAsia="zh-CN"/>
              </w:rPr>
              <w:t>21</w:t>
            </w:r>
            <w:r>
              <w:rPr>
                <w:rFonts w:hint="default" w:ascii="Times New Roman" w:hAnsi="Times New Roman" w:eastAsia="宋体" w:cs="Times New Roman"/>
                <w:bCs/>
                <w:color w:val="auto"/>
                <w:spacing w:val="-10"/>
                <w:sz w:val="24"/>
                <w:szCs w:val="24"/>
                <w:highlight w:val="none"/>
                <w:lang w:val="en-US" w:eastAsia="zh-CN"/>
              </w:rPr>
              <w:t>kg/h。</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（3）烘干粉尘</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本项目年使用烘干塔</w:t>
            </w:r>
            <w:r>
              <w:rPr>
                <w:rFonts w:hint="eastAsia" w:cs="Times New Roman"/>
                <w:bCs/>
                <w:color w:val="auto"/>
                <w:spacing w:val="-10"/>
                <w:sz w:val="24"/>
                <w:szCs w:val="24"/>
                <w:highlight w:val="none"/>
                <w:lang w:val="en-US" w:eastAsia="zh-CN"/>
              </w:rPr>
              <w:t>720</w:t>
            </w:r>
            <w:r>
              <w:rPr>
                <w:rFonts w:hint="default" w:ascii="Times New Roman" w:hAnsi="Times New Roman" w:eastAsia="宋体" w:cs="Times New Roman"/>
                <w:bCs/>
                <w:color w:val="auto"/>
                <w:spacing w:val="-10"/>
                <w:sz w:val="24"/>
                <w:szCs w:val="24"/>
                <w:highlight w:val="none"/>
                <w:lang w:val="en-US" w:eastAsia="zh-CN"/>
              </w:rPr>
              <w:t>h/a。粮食经烘干塔烘干时产生粉尘，根据《逸散性工业粉尘控制技术（中国环境科学出版社）》，过筛工序逸散尘排放因子取0.1kg/t，本项目进入烘干塔玉米量为</w:t>
            </w:r>
            <w:r>
              <w:rPr>
                <w:rFonts w:hint="eastAsia" w:cs="Times New Roman"/>
                <w:bCs/>
                <w:color w:val="auto"/>
                <w:spacing w:val="-10"/>
                <w:sz w:val="24"/>
                <w:szCs w:val="24"/>
                <w:highlight w:val="none"/>
                <w:lang w:val="en-US" w:eastAsia="zh-CN"/>
              </w:rPr>
              <w:t>14998.5</w:t>
            </w:r>
            <w:r>
              <w:rPr>
                <w:rFonts w:hint="default" w:ascii="Times New Roman" w:hAnsi="Times New Roman" w:eastAsia="宋体" w:cs="Times New Roman"/>
                <w:bCs/>
                <w:color w:val="auto"/>
                <w:spacing w:val="-10"/>
                <w:sz w:val="24"/>
                <w:szCs w:val="24"/>
                <w:highlight w:val="none"/>
                <w:lang w:val="en-US" w:eastAsia="zh-CN"/>
              </w:rPr>
              <w:t>t/a，粉尘产生量为</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t/a，粉尘产生速率为</w:t>
            </w:r>
            <w:r>
              <w:rPr>
                <w:rFonts w:hint="eastAsia" w:cs="Times New Roman"/>
                <w:bCs/>
                <w:color w:val="auto"/>
                <w:spacing w:val="-10"/>
                <w:sz w:val="24"/>
                <w:szCs w:val="24"/>
                <w:highlight w:val="none"/>
                <w:lang w:val="en-US" w:eastAsia="zh-CN"/>
              </w:rPr>
              <w:t>2.08</w:t>
            </w:r>
            <w:r>
              <w:rPr>
                <w:rFonts w:hint="default" w:ascii="Times New Roman" w:hAnsi="Times New Roman" w:eastAsia="宋体" w:cs="Times New Roman"/>
                <w:bCs/>
                <w:color w:val="auto"/>
                <w:spacing w:val="-10"/>
                <w:sz w:val="24"/>
                <w:szCs w:val="24"/>
                <w:highlight w:val="none"/>
                <w:lang w:val="en-US" w:eastAsia="zh-CN"/>
              </w:rPr>
              <w:t>kg/h，烘干塔内部自带重力沉降室，四周设置防尘挡板，粉尘受挡板格挡后受重力作用回落到烘干塔底部收尘设施中，少量粉尘从塔顶排放。参照《扬尘源颗粒物排放清单编制技术指南》中围挡遮围对TSP的控制效率，本项目抑尘效率按90%计，则项目烘干塔无组织粉尘排放量为0.</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t/a，排放速率为0.</w:t>
            </w:r>
            <w:r>
              <w:rPr>
                <w:rFonts w:hint="eastAsia" w:cs="Times New Roman"/>
                <w:bCs/>
                <w:color w:val="auto"/>
                <w:spacing w:val="-10"/>
                <w:sz w:val="24"/>
                <w:szCs w:val="24"/>
                <w:highlight w:val="none"/>
                <w:lang w:val="en-US" w:eastAsia="zh-CN"/>
              </w:rPr>
              <w:t>21</w:t>
            </w:r>
            <w:r>
              <w:rPr>
                <w:rFonts w:hint="default" w:ascii="Times New Roman" w:hAnsi="Times New Roman" w:eastAsia="宋体" w:cs="Times New Roman"/>
                <w:bCs/>
                <w:color w:val="auto"/>
                <w:spacing w:val="-10"/>
                <w:sz w:val="24"/>
                <w:szCs w:val="24"/>
                <w:highlight w:val="none"/>
                <w:lang w:val="en-US" w:eastAsia="zh-CN"/>
              </w:rPr>
              <w:t>kg/h。</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eastAsia" w:ascii="Times New Roman" w:hAnsi="Times New Roman" w:eastAsia="宋体" w:cs="Times New Roman"/>
                <w:bCs/>
                <w:color w:val="auto"/>
                <w:spacing w:val="-10"/>
                <w:sz w:val="24"/>
                <w:szCs w:val="24"/>
                <w:lang w:val="en-US" w:eastAsia="zh-CN"/>
              </w:rPr>
              <w:t>（</w:t>
            </w:r>
            <w:r>
              <w:rPr>
                <w:rFonts w:hint="eastAsia" w:cs="Times New Roman"/>
                <w:bCs/>
                <w:color w:val="auto"/>
                <w:spacing w:val="-10"/>
                <w:sz w:val="24"/>
                <w:szCs w:val="24"/>
                <w:lang w:val="en-US" w:eastAsia="zh-CN"/>
              </w:rPr>
              <w:t>4</w:t>
            </w:r>
            <w:r>
              <w:rPr>
                <w:rFonts w:hint="eastAsia" w:ascii="Times New Roman" w:hAnsi="Times New Roman" w:eastAsia="宋体"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热风炉废气有组织排放源强</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rFonts w:hint="default" w:ascii="Times New Roman" w:hAnsi="Times New Roman" w:eastAsia="宋体" w:cs="Times New Roman"/>
                <w:color w:val="auto"/>
                <w:sz w:val="24"/>
                <w:highlight w:val="none"/>
                <w:lang w:eastAsia="zh-CN"/>
              </w:rPr>
              <w:t>热风炉</w:t>
            </w:r>
            <w:r>
              <w:rPr>
                <w:rFonts w:hint="default" w:ascii="Times New Roman" w:hAnsi="Times New Roman" w:eastAsia="宋体" w:cs="Times New Roman"/>
                <w:color w:val="auto"/>
                <w:sz w:val="24"/>
                <w:highlight w:val="none"/>
              </w:rPr>
              <w:t>燃烧产生的大气污染物有SO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eastAsia="zh-CN"/>
              </w:rPr>
              <w:t>烟尘</w:t>
            </w:r>
            <w:r>
              <w:rPr>
                <w:rFonts w:hint="default" w:ascii="Times New Roman" w:hAnsi="Times New Roman" w:eastAsia="宋体" w:cs="Times New Roman"/>
                <w:color w:val="auto"/>
                <w:sz w:val="24"/>
                <w:highlight w:val="none"/>
              </w:rPr>
              <w:t>及NO</w:t>
            </w:r>
            <w:r>
              <w:rPr>
                <w:rFonts w:hint="default" w:ascii="Times New Roman" w:hAnsi="Times New Roman" w:eastAsia="宋体" w:cs="Times New Roman"/>
                <w:color w:val="auto"/>
                <w:sz w:val="24"/>
                <w:highlight w:val="none"/>
                <w:vertAlign w:val="subscript"/>
              </w:rPr>
              <w:t>X</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rPr>
              <w:t>烟气量、</w:t>
            </w:r>
            <w:r>
              <w:rPr>
                <w:rFonts w:hint="eastAsia" w:ascii="Times New Roman" w:hAnsi="Times New Roman" w:eastAsia="宋体" w:cs="Times New Roman"/>
                <w:color w:val="auto"/>
                <w:sz w:val="24"/>
                <w:highlight w:val="none"/>
                <w:lang w:val="en-US" w:eastAsia="zh-CN"/>
              </w:rPr>
              <w:t>烟尘、</w:t>
            </w:r>
            <w:r>
              <w:rPr>
                <w:rFonts w:hint="eastAsia" w:ascii="Times New Roman" w:hAnsi="Times New Roman" w:eastAsia="宋体" w:cs="Times New Roman"/>
                <w:color w:val="auto"/>
                <w:sz w:val="24"/>
                <w:highlight w:val="none"/>
                <w:lang w:eastAsia="zh-CN"/>
              </w:rPr>
              <w:t>氮氧化物</w:t>
            </w:r>
            <w:r>
              <w:rPr>
                <w:rFonts w:hint="eastAsia" w:ascii="Times New Roman" w:hAnsi="Times New Roman" w:eastAsia="宋体" w:cs="Times New Roman"/>
                <w:color w:val="auto"/>
                <w:sz w:val="24"/>
                <w:highlight w:val="none"/>
              </w:rPr>
              <w:t>源强、二氧化硫源强</w:t>
            </w:r>
            <w:r>
              <w:rPr>
                <w:rFonts w:hint="default" w:ascii="Times New Roman" w:hAnsi="Times New Roman" w:eastAsia="宋体" w:cs="Times New Roman"/>
                <w:color w:val="auto"/>
                <w:sz w:val="24"/>
                <w:highlight w:val="none"/>
              </w:rPr>
              <w:t>根据《污染源源强核算技术指南 锅炉》（HJ888-2018）</w:t>
            </w:r>
            <w:r>
              <w:rPr>
                <w:rFonts w:hint="eastAsia" w:ascii="Times New Roman" w:hAnsi="Times New Roman" w:eastAsia="宋体" w:cs="Times New Roman"/>
                <w:color w:val="auto"/>
                <w:sz w:val="24"/>
                <w:highlight w:val="none"/>
              </w:rPr>
              <w:t>物料衡算法计算源强。</w:t>
            </w:r>
            <w:bookmarkStart w:id="21" w:name="_Hlk65495894"/>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a）烟气量按下式计算</w:t>
            </w:r>
          </w:p>
          <w:p>
            <w:pPr>
              <w:spacing w:line="360" w:lineRule="auto"/>
              <w:ind w:firstLine="480" w:firstLineChars="200"/>
              <w:rPr>
                <w:color w:val="auto"/>
                <w:sz w:val="24"/>
                <w:szCs w:val="32"/>
              </w:rPr>
            </w:pPr>
            <w:r>
              <w:rPr>
                <w:color w:val="auto"/>
                <w:sz w:val="24"/>
                <w:szCs w:val="32"/>
              </w:rPr>
              <w:t>理论空气量：有元素</w:t>
            </w:r>
            <w:r>
              <w:rPr>
                <w:rFonts w:hint="eastAsia"/>
                <w:color w:val="auto"/>
                <w:sz w:val="24"/>
                <w:szCs w:val="32"/>
              </w:rPr>
              <w:t>成分</w:t>
            </w:r>
            <w:r>
              <w:rPr>
                <w:color w:val="auto"/>
                <w:sz w:val="24"/>
                <w:szCs w:val="32"/>
              </w:rPr>
              <w:t>分析时理论空气量可用公式计算</w:t>
            </w:r>
            <w:r>
              <w:rPr>
                <w:rFonts w:hint="eastAsia"/>
                <w:color w:val="auto"/>
                <w:sz w:val="24"/>
                <w:szCs w:val="32"/>
              </w:rPr>
              <w:t>：</w:t>
            </w:r>
          </w:p>
          <w:p>
            <w:pPr>
              <w:spacing w:line="440" w:lineRule="exact"/>
              <w:ind w:firstLine="420" w:firstLineChars="200"/>
              <w:rPr>
                <w:color w:val="auto"/>
                <w:sz w:val="24"/>
              </w:rPr>
            </w:pPr>
            <w:r>
              <w:rPr>
                <w:color w:val="auto"/>
              </w:rPr>
              <w:drawing>
                <wp:anchor distT="0" distB="0" distL="114300" distR="114300" simplePos="0" relativeHeight="251666432" behindDoc="0" locked="0" layoutInCell="1" allowOverlap="1">
                  <wp:simplePos x="0" y="0"/>
                  <wp:positionH relativeFrom="column">
                    <wp:posOffset>791845</wp:posOffset>
                  </wp:positionH>
                  <wp:positionV relativeFrom="paragraph">
                    <wp:posOffset>104775</wp:posOffset>
                  </wp:positionV>
                  <wp:extent cx="3317875" cy="213360"/>
                  <wp:effectExtent l="0" t="0" r="15875" b="15240"/>
                  <wp:wrapNone/>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22"/>
                          <a:stretch>
                            <a:fillRect/>
                          </a:stretch>
                        </pic:blipFill>
                        <pic:spPr>
                          <a:xfrm>
                            <a:off x="0" y="0"/>
                            <a:ext cx="3317875" cy="213360"/>
                          </a:xfrm>
                          <a:prstGeom prst="rect">
                            <a:avLst/>
                          </a:prstGeom>
                          <a:noFill/>
                          <a:ln>
                            <a:noFill/>
                          </a:ln>
                        </pic:spPr>
                      </pic:pic>
                    </a:graphicData>
                  </a:graphic>
                </wp:anchor>
              </w:drawing>
            </w:r>
          </w:p>
          <w:p>
            <w:pPr>
              <w:spacing w:line="360" w:lineRule="auto"/>
              <w:ind w:firstLine="480" w:firstLineChars="200"/>
              <w:rPr>
                <w:color w:val="auto"/>
                <w:sz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rFonts w:hint="eastAsia"/>
                <w:color w:val="auto"/>
                <w:sz w:val="24"/>
              </w:rPr>
              <w:t>式</w:t>
            </w:r>
            <w:r>
              <w:rPr>
                <w:color w:val="auto"/>
                <w:sz w:val="24"/>
              </w:rPr>
              <w:t>中，V</w:t>
            </w:r>
            <w:r>
              <w:rPr>
                <w:rFonts w:hint="eastAsia"/>
                <w:color w:val="auto"/>
                <w:sz w:val="24"/>
                <w:vertAlign w:val="subscript"/>
              </w:rPr>
              <w:t>0</w:t>
            </w:r>
            <w:r>
              <w:rPr>
                <w:color w:val="auto"/>
                <w:sz w:val="24"/>
              </w:rPr>
              <w:t>——</w:t>
            </w:r>
            <w:r>
              <w:rPr>
                <w:rFonts w:hint="eastAsia"/>
                <w:color w:val="auto"/>
                <w:sz w:val="24"/>
              </w:rPr>
              <w:t>理论空气量</w:t>
            </w:r>
            <w:r>
              <w:rPr>
                <w:color w:val="auto"/>
                <w:sz w:val="24"/>
              </w:rPr>
              <w:t>，m</w:t>
            </w:r>
            <w:r>
              <w:rPr>
                <w:color w:val="auto"/>
                <w:sz w:val="24"/>
                <w:vertAlign w:val="superscript"/>
              </w:rPr>
              <w:t>3</w:t>
            </w:r>
            <w:r>
              <w:rPr>
                <w:color w:val="auto"/>
                <w:sz w:val="24"/>
              </w:rPr>
              <w:t>/</w:t>
            </w:r>
            <w:r>
              <w:rPr>
                <w:rFonts w:hint="eastAsia"/>
                <w:color w:val="auto"/>
                <w:sz w:val="24"/>
              </w:rPr>
              <w:t>kg</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rFonts w:hint="eastAsia"/>
                <w:color w:val="auto"/>
                <w:sz w:val="24"/>
              </w:rPr>
              <w:t>C</w:t>
            </w:r>
            <w:r>
              <w:rPr>
                <w:color w:val="auto"/>
                <w:sz w:val="24"/>
              </w:rPr>
              <w:t>ar——收到基</w:t>
            </w:r>
            <w:r>
              <w:rPr>
                <w:rFonts w:hint="eastAsia"/>
                <w:color w:val="auto"/>
                <w:sz w:val="24"/>
              </w:rPr>
              <w:t>碳</w:t>
            </w:r>
            <w:r>
              <w:rPr>
                <w:color w:val="auto"/>
                <w:sz w:val="24"/>
              </w:rPr>
              <w:t>的质量分数，取</w:t>
            </w:r>
            <w:r>
              <w:rPr>
                <w:rFonts w:hint="eastAsia"/>
                <w:color w:val="auto"/>
                <w:sz w:val="24"/>
              </w:rPr>
              <w:t>38.82</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color w:val="auto"/>
                <w:sz w:val="24"/>
              </w:rPr>
              <w:t>Sar——收到基硫含量，取</w:t>
            </w:r>
            <w:r>
              <w:rPr>
                <w:rFonts w:hint="eastAsia"/>
                <w:color w:val="auto"/>
                <w:sz w:val="24"/>
              </w:rPr>
              <w:t>0.07</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color w:val="auto"/>
                <w:sz w:val="24"/>
              </w:rPr>
              <w:t>Har——收到基氢含量，取</w:t>
            </w:r>
            <w:r>
              <w:rPr>
                <w:rFonts w:hint="eastAsia"/>
                <w:color w:val="auto"/>
                <w:sz w:val="24"/>
              </w:rPr>
              <w:t>4.38</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color w:val="auto"/>
                <w:sz w:val="24"/>
              </w:rPr>
              <w:t>Qar——收到基氧含量，取</w:t>
            </w:r>
            <w:r>
              <w:rPr>
                <w:rFonts w:hint="eastAsia"/>
                <w:color w:val="auto"/>
                <w:sz w:val="24"/>
              </w:rPr>
              <w:t>33.13</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rPr>
            </w:pPr>
            <w:r>
              <w:rPr>
                <w:color w:val="auto"/>
                <w:sz w:val="24"/>
              </w:rPr>
              <w:t>干烟气排放量可用公式计算</w:t>
            </w:r>
            <w:r>
              <w:rPr>
                <w:rFonts w:hint="eastAsia"/>
                <w:color w:val="auto"/>
                <w:sz w:val="24"/>
              </w:rPr>
              <w:t>：</w:t>
            </w:r>
          </w:p>
          <w:p>
            <w:pPr>
              <w:pStyle w:val="3"/>
              <w:keepNext/>
              <w:keepLines w:val="0"/>
              <w:pageBreakBefore w:val="0"/>
              <w:widowControl w:val="0"/>
              <w:kinsoku/>
              <w:wordWrap/>
              <w:overflowPunct w:val="0"/>
              <w:topLinePunct w:val="0"/>
              <w:autoSpaceDE/>
              <w:autoSpaceDN/>
              <w:bidi w:val="0"/>
              <w:adjustRightInd/>
              <w:snapToGrid w:val="0"/>
              <w:spacing w:before="0" w:after="0" w:line="360" w:lineRule="auto"/>
              <w:ind w:left="0" w:firstLine="480" w:firstLineChars="200"/>
              <w:textAlignment w:val="auto"/>
              <w:rPr>
                <w:rFonts w:hint="default" w:ascii="Times New Roman" w:hAnsi="Times New Roman" w:cs="Times New Roman"/>
                <w:b w:val="0"/>
                <w:bCs w:val="0"/>
                <w:i w:val="0"/>
                <w:color w:val="auto"/>
                <w:kern w:val="44"/>
                <w:sz w:val="24"/>
                <w:szCs w:val="24"/>
                <w:lang w:val="en-US" w:eastAsia="zh-CN" w:bidi="ar-SA"/>
              </w:rPr>
            </w:pPr>
            <m:oMath>
              <m:sSub>
                <w:bookmarkStart w:id="22" w:name="_Toc2017"/>
                <w:bookmarkStart w:id="23" w:name="_Toc15687"/>
                <w:bookmarkStart w:id="24" w:name="_Toc13746"/>
                <w:bookmarkStart w:id="25" w:name="_Toc22421"/>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RO</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CO</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RO</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=1.866×</m:t>
              </m:r>
              <m:f>
                <m:fPr>
                  <m:ctrlPr>
                    <w:rPr>
                      <w:rFonts w:hint="default" w:ascii="Cambria Math" w:hAnsi="Cambria Math" w:cs="Times New Roman"/>
                      <w:b w:val="0"/>
                      <w:bCs w:val="0"/>
                      <w:i w:val="0"/>
                      <w:color w:val="auto"/>
                      <w:kern w:val="44"/>
                      <w:sz w:val="24"/>
                      <w:szCs w:val="24"/>
                      <w:lang w:val="en-US" w:eastAsia="zh-CN" w:bidi="ar-SA"/>
                    </w:rPr>
                  </m:ctrlPr>
                </m:fPr>
                <m:num>
                  <m:sSub>
                    <m:sSubPr>
                      <m:ctrlPr>
                        <w:rPr>
                          <w:rFonts w:hint="default" w:ascii="Cambria Math" w:hAnsi="Cambria Math" w:cs="Times New Roman"/>
                          <w:b w:val="0"/>
                          <w:bCs w:val="0"/>
                          <w:i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C</m:t>
                      </m:r>
                      <m:ctrlPr>
                        <w:rPr>
                          <w:rFonts w:hint="default" w:ascii="Cambria Math" w:hAnsi="Cambria Math" w:cs="Times New Roman"/>
                          <w:b w:val="0"/>
                          <w:bCs w:val="0"/>
                          <w:i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ar</m:t>
                      </m:r>
                      <m:ctrlPr>
                        <w:rPr>
                          <w:rFonts w:hint="default" w:ascii="Cambria Math" w:hAnsi="Cambria Math" w:cs="Times New Roman"/>
                          <w:b w:val="0"/>
                          <w:bCs w:val="0"/>
                          <w:i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+0.375</m:t>
                  </m:r>
                  <m:sSub>
                    <m:sSubPr>
                      <m:ctrlPr>
                        <w:rPr>
                          <w:rFonts w:hint="default" w:ascii="Cambria Math" w:hAnsi="Cambria Math" w:cs="Times New Roman"/>
                          <w:b w:val="0"/>
                          <w:bCs w:val="0"/>
                          <w:i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S</m:t>
                      </m:r>
                      <m:ctrlPr>
                        <w:rPr>
                          <w:rFonts w:hint="default" w:ascii="Cambria Math" w:hAnsi="Cambria Math" w:cs="Times New Roman"/>
                          <w:b w:val="0"/>
                          <w:bCs w:val="0"/>
                          <w:i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ar</m:t>
                      </m:r>
                      <m:ctrlPr>
                        <w:rPr>
                          <w:rFonts w:hint="default" w:ascii="Cambria Math" w:hAnsi="Cambria Math" w:cs="Times New Roman"/>
                          <w:b w:val="0"/>
                          <w:bCs w:val="0"/>
                          <w:i w:val="0"/>
                          <w:color w:val="auto"/>
                          <w:kern w:val="44"/>
                          <w:sz w:val="24"/>
                          <w:szCs w:val="24"/>
                          <w:lang w:val="en-US" w:eastAsia="zh-CN" w:bidi="ar-SA"/>
                        </w:rPr>
                      </m:ctrlPr>
                    </m:sub>
                  </m:sSub>
                  <m:ctrlPr>
                    <w:rPr>
                      <w:rFonts w:hint="default" w:ascii="Cambria Math" w:hAnsi="Cambria Math" w:cs="Times New Roman"/>
                      <w:b w:val="0"/>
                      <w:bCs w:val="0"/>
                      <w:i w:val="0"/>
                      <w:color w:val="auto"/>
                      <w:kern w:val="44"/>
                      <w:sz w:val="24"/>
                      <w:szCs w:val="24"/>
                      <w:lang w:val="en-US" w:eastAsia="zh-CN" w:bidi="ar-SA"/>
                    </w:rPr>
                  </m:ctrlPr>
                </m:num>
                <m:den>
                  <m:r>
                    <m:rPr>
                      <m:nor/>
                      <m:sty m:val="p"/>
                    </m:rPr>
                    <w:rPr>
                      <w:rFonts w:hint="default" w:ascii="Times New Roman" w:hAnsi="Times New Roman" w:cs="Times New Roman"/>
                      <w:b w:val="0"/>
                      <w:bCs w:val="0"/>
                      <w:i w:val="0"/>
                      <w:color w:val="auto"/>
                      <w:kern w:val="44"/>
                      <w:sz w:val="24"/>
                      <w:szCs w:val="24"/>
                      <w:lang w:val="en-US" w:eastAsia="zh-CN" w:bidi="ar-SA"/>
                    </w:rPr>
                    <m:t>100</m:t>
                  </m:r>
                  <w:bookmarkEnd w:id="22"/>
                  <w:bookmarkEnd w:id="23"/>
                  <w:bookmarkEnd w:id="24"/>
                  <w:bookmarkEnd w:id="25"/>
                  <m:ctrlPr>
                    <w:rPr>
                      <w:rFonts w:hint="default" w:ascii="Cambria Math" w:hAnsi="Cambria Math" w:cs="Times New Roman"/>
                      <w:b w:val="0"/>
                      <w:bCs w:val="0"/>
                      <w:i w:val="0"/>
                      <w:color w:val="auto"/>
                      <w:kern w:val="44"/>
                      <w:sz w:val="24"/>
                      <w:szCs w:val="24"/>
                      <w:lang w:val="en-US" w:eastAsia="zh-CN" w:bidi="ar-SA"/>
                    </w:rPr>
                  </m:ctrlPr>
                </m:den>
              </m:f>
            </m:oMath>
            <w:r>
              <w:rPr>
                <w:rFonts w:hint="default" w:ascii="Cambria Math" w:hAnsi="Cambria Math" w:cs="Times New Roman"/>
                <w:b w:val="0"/>
                <w:bCs w:val="0"/>
                <w:i w:val="0"/>
                <w:color w:val="auto"/>
                <w:kern w:val="44"/>
                <w:sz w:val="24"/>
                <w:szCs w:val="24"/>
                <w:lang w:val="en-US" w:eastAsia="zh-CN" w:bidi="ar-SA"/>
              </w:rPr>
              <w:t xml:space="preserve"> </w:t>
            </w:r>
          </w:p>
          <w:p>
            <w:pPr>
              <w:keepLines w:val="0"/>
              <w:pageBreakBefore w:val="0"/>
              <w:widowControl w:val="0"/>
              <w:kinsoku/>
              <w:wordWrap/>
              <w:topLinePunct w:val="0"/>
              <w:autoSpaceDE/>
              <w:autoSpaceDN/>
              <w:bidi w:val="0"/>
              <w:adjustRightInd/>
              <w:spacing w:line="360" w:lineRule="auto"/>
              <w:ind w:left="0" w:firstLine="480" w:firstLineChars="200"/>
              <w:textAlignment w:val="auto"/>
              <w:rPr>
                <w:rFonts w:hint="default" w:ascii="Times New Roman" w:hAnsi="Times New Roman" w:cs="Times New Roman"/>
                <w:b w:val="0"/>
                <w:bCs w:val="0"/>
                <w:i w:val="0"/>
                <w:color w:val="auto"/>
                <w:kern w:val="44"/>
                <w:sz w:val="24"/>
                <w:szCs w:val="24"/>
                <w:lang w:val="en-US" w:eastAsia="zh-CN" w:bidi="ar-SA"/>
              </w:rPr>
            </w:pPr>
            <m:oMath>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N</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=0.79</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0</m:t>
                  </m:r>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+0.8×</m:t>
              </m:r>
              <m:f>
                <m:fPr>
                  <m:ctrlPr>
                    <w:rPr>
                      <w:rFonts w:hint="default" w:ascii="Cambria Math" w:hAnsi="Cambria Math" w:cs="Times New Roman"/>
                      <w:b w:val="0"/>
                      <w:bCs w:val="0"/>
                      <w:color w:val="auto"/>
                      <w:kern w:val="44"/>
                      <w:sz w:val="24"/>
                      <w:szCs w:val="24"/>
                      <w:lang w:val="en-US" w:eastAsia="zh-CN" w:bidi="ar-SA"/>
                    </w:rPr>
                  </m:ctrlPr>
                </m:fPr>
                <m:num>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N</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ar</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num>
                <m:den>
                  <m:r>
                    <m:rPr>
                      <m:nor/>
                      <m:sty m:val="p"/>
                    </m:rPr>
                    <w:rPr>
                      <w:rFonts w:hint="default" w:ascii="Times New Roman" w:hAnsi="Times New Roman" w:cs="Times New Roman"/>
                      <w:b w:val="0"/>
                      <w:bCs w:val="0"/>
                      <w:i w:val="0"/>
                      <w:color w:val="auto"/>
                      <w:kern w:val="44"/>
                      <w:sz w:val="24"/>
                      <w:szCs w:val="24"/>
                      <w:lang w:val="en-US" w:eastAsia="zh-CN" w:bidi="ar-SA"/>
                    </w:rPr>
                    <m:t>100</m:t>
                  </m:r>
                  <m:ctrlPr>
                    <w:rPr>
                      <w:rFonts w:hint="default" w:ascii="Cambria Math" w:hAnsi="Cambria Math" w:cs="Times New Roman"/>
                      <w:b w:val="0"/>
                      <w:bCs w:val="0"/>
                      <w:color w:val="auto"/>
                      <w:kern w:val="44"/>
                      <w:sz w:val="24"/>
                      <w:szCs w:val="24"/>
                      <w:lang w:val="en-US" w:eastAsia="zh-CN" w:bidi="ar-SA"/>
                    </w:rPr>
                  </m:ctrlPr>
                </m:den>
              </m:f>
            </m:oMath>
            <w:r>
              <w:rPr>
                <w:rFonts w:hint="default" w:ascii="Cambria Math" w:hAnsi="Cambria Math" w:cs="Times New Roman"/>
                <w:b w:val="0"/>
                <w:bCs w:val="0"/>
                <w:color w:val="auto"/>
                <w:kern w:val="44"/>
                <w:sz w:val="24"/>
                <w:szCs w:val="24"/>
                <w:lang w:val="en-US" w:eastAsia="zh-CN" w:bidi="ar-SA"/>
              </w:rPr>
              <w:t xml:space="preserve"> </w:t>
            </w:r>
          </w:p>
          <w:p>
            <w:pPr>
              <w:pStyle w:val="3"/>
              <w:keepLines w:val="0"/>
              <w:pageBreakBefore w:val="0"/>
              <w:widowControl w:val="0"/>
              <w:kinsoku/>
              <w:wordWrap/>
              <w:topLinePunct w:val="0"/>
              <w:autoSpaceDE/>
              <w:autoSpaceDN/>
              <w:bidi w:val="0"/>
              <w:adjustRightInd/>
              <w:spacing w:before="0" w:after="0" w:line="360" w:lineRule="auto"/>
              <w:ind w:left="0" w:firstLine="480" w:firstLineChars="200"/>
              <w:textAlignment w:val="auto"/>
              <w:rPr>
                <w:rFonts w:hint="default" w:ascii="Times New Roman" w:hAnsi="Times New Roman" w:eastAsia="黑体" w:cs="Times New Roman"/>
                <w:b w:val="0"/>
                <w:bCs w:val="0"/>
                <w:color w:val="auto"/>
                <w:sz w:val="24"/>
                <w:szCs w:val="24"/>
                <w:lang w:val="en-US" w:eastAsia="zh-CN"/>
              </w:rPr>
            </w:pPr>
            <m:oMath>
              <m:sSub>
                <w:bookmarkStart w:id="26" w:name="_Toc31700"/>
                <w:bookmarkStart w:id="27" w:name="_Toc28568"/>
                <w:bookmarkStart w:id="28" w:name="_Toc20549"/>
                <w:bookmarkStart w:id="29" w:name="_Toc31133"/>
                <m:sSubPr>
                  <m:ctrlPr>
                    <w:rPr>
                      <w:rFonts w:hint="default" w:ascii="Cambria Math" w:hAnsi="Cambria Math" w:cs="Times New Roman"/>
                      <w:b w:val="0"/>
                      <w:bCs w:val="0"/>
                      <w:i/>
                      <w:color w:val="auto"/>
                      <w:sz w:val="24"/>
                      <w:szCs w:val="24"/>
                      <w:lang w:val="en-US"/>
                    </w:rPr>
                  </m:ctrlPr>
                </m:sSubPr>
                <m:e>
                  <m:r>
                    <m:rPr>
                      <m:nor/>
                    </m:rPr>
                    <w:rPr>
                      <w:rFonts w:hint="default" w:ascii="Times New Roman" w:hAnsi="Times New Roman" w:cs="Times New Roman"/>
                      <w:b w:val="0"/>
                      <w:bCs w:val="0"/>
                      <w:i/>
                      <w:color w:val="auto"/>
                      <w:sz w:val="24"/>
                      <w:szCs w:val="24"/>
                      <w:lang w:val="en-US" w:eastAsia="zh-CN"/>
                    </w:rPr>
                    <m:t>V</m:t>
                  </m:r>
                  <m:ctrlPr>
                    <w:rPr>
                      <w:rFonts w:hint="default" w:ascii="Cambria Math" w:hAnsi="Cambria Math" w:cs="Times New Roman"/>
                      <w:b w:val="0"/>
                      <w:bCs w:val="0"/>
                      <w:i/>
                      <w:color w:val="auto"/>
                      <w:sz w:val="24"/>
                      <w:szCs w:val="24"/>
                      <w:lang w:val="en-US"/>
                    </w:rPr>
                  </m:ctrlPr>
                </m:e>
                <m:sub>
                  <m:r>
                    <m:rPr>
                      <m:nor/>
                    </m:rPr>
                    <w:rPr>
                      <w:rFonts w:hint="default" w:ascii="Times New Roman" w:hAnsi="Times New Roman" w:cs="Times New Roman"/>
                      <w:b w:val="0"/>
                      <w:bCs w:val="0"/>
                      <w:i/>
                      <w:color w:val="auto"/>
                      <w:sz w:val="24"/>
                      <w:szCs w:val="24"/>
                      <w:lang w:val="en-US" w:eastAsia="zh-CN"/>
                    </w:rPr>
                    <m:t>g</m:t>
                  </m:r>
                  <m:ctrlPr>
                    <w:rPr>
                      <w:rFonts w:hint="default" w:ascii="Cambria Math" w:hAnsi="Cambria Math" w:cs="Times New Roman"/>
                      <w:b w:val="0"/>
                      <w:bCs w:val="0"/>
                      <w:i/>
                      <w:color w:val="auto"/>
                      <w:sz w:val="24"/>
                      <w:szCs w:val="24"/>
                      <w:lang w:val="en-US"/>
                    </w:rPr>
                  </m:ctrlPr>
                </m:sub>
              </m:sSub>
              <m:r>
                <m:rPr>
                  <m:nor/>
                  <m:sty m:val="p"/>
                </m:rPr>
                <w:rPr>
                  <w:rFonts w:hint="default" w:ascii="Times New Roman" w:hAnsi="Times New Roman" w:cs="Times New Roman"/>
                  <w:b w:val="0"/>
                  <w:bCs w:val="0"/>
                  <w:i w:val="0"/>
                  <w:color w:val="auto"/>
                  <w:sz w:val="24"/>
                  <w:szCs w:val="24"/>
                  <w:lang w:val="en-US" w:eastAsia="zh-CN"/>
                </w:rPr>
                <m:t>=</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RO</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N</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m:t>
              </m:r>
              <m:r>
                <m:rPr>
                  <m:nor/>
                  <m:sty m:val="p"/>
                </m:rPr>
                <w:rPr>
                  <w:rFonts w:hint="default" w:ascii="Times New Roman" w:hAnsi="Times New Roman" w:cs="Times New Roman"/>
                  <w:b w:val="0"/>
                  <w:bCs w:val="0"/>
                  <w:i w:val="0"/>
                  <w:color w:val="auto"/>
                  <w:kern w:val="44"/>
                  <w:sz w:val="24"/>
                  <w:szCs w:val="24"/>
                  <w:lang w:val="en-US" w:bidi="ar-SA"/>
                </w:rPr>
                <m:t>α</m:t>
              </m:r>
              <m:r>
                <m:rPr>
                  <m:nor/>
                  <m:sty m:val="p"/>
                </m:rPr>
                <w:rPr>
                  <w:rFonts w:hint="default" w:ascii="Times New Roman" w:hAnsi="Times New Roman" w:cs="Times New Roman"/>
                  <w:b w:val="0"/>
                  <w:bCs w:val="0"/>
                  <w:i w:val="0"/>
                  <w:color w:val="auto"/>
                  <w:kern w:val="44"/>
                  <w:sz w:val="24"/>
                  <w:szCs w:val="24"/>
                  <w:lang w:val="en-US" w:eastAsia="zh-CN" w:bidi="ar-SA"/>
                </w:rPr>
                <m:t>−1)</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0</m:t>
                  </m:r>
                  <w:bookmarkEnd w:id="26"/>
                  <w:bookmarkEnd w:id="27"/>
                  <w:bookmarkEnd w:id="28"/>
                  <w:bookmarkEnd w:id="29"/>
                  <m:ctrlPr>
                    <w:rPr>
                      <w:rFonts w:hint="default" w:ascii="Cambria Math" w:hAnsi="Cambria Math" w:cs="Times New Roman"/>
                      <w:b w:val="0"/>
                      <w:bCs w:val="0"/>
                      <w:color w:val="auto"/>
                      <w:kern w:val="44"/>
                      <w:sz w:val="24"/>
                      <w:szCs w:val="24"/>
                      <w:lang w:val="en-US" w:eastAsia="zh-CN" w:bidi="ar-SA"/>
                    </w:rPr>
                  </m:ctrlPr>
                </m:sub>
              </m:sSub>
            </m:oMath>
            <w:r>
              <w:rPr>
                <w:rFonts w:hint="default" w:ascii="Cambria Math" w:hAnsi="Cambria Math" w:cs="Times New Roman"/>
                <w:b w:val="0"/>
                <w:bCs w:val="0"/>
                <w:color w:val="auto"/>
                <w:kern w:val="44"/>
                <w:sz w:val="24"/>
                <w:szCs w:val="24"/>
                <w:lang w:val="en-US" w:eastAsia="zh-CN" w:bidi="ar-SA"/>
              </w:rPr>
              <w:t xml:space="preserve"> </w:t>
            </w:r>
          </w:p>
          <w:p>
            <w:pPr>
              <w:spacing w:line="440" w:lineRule="exact"/>
              <w:ind w:firstLine="480" w:firstLineChars="200"/>
              <w:rPr>
                <w:color w:val="auto"/>
                <w:sz w:val="24"/>
              </w:rPr>
            </w:pPr>
            <w:r>
              <w:rPr>
                <w:rFonts w:hint="eastAsia"/>
                <w:color w:val="auto"/>
                <w:sz w:val="24"/>
              </w:rPr>
              <w:t>式</w:t>
            </w:r>
            <w:r>
              <w:rPr>
                <w:color w:val="auto"/>
                <w:sz w:val="24"/>
              </w:rPr>
              <w:t>中，V</w:t>
            </w:r>
            <w:r>
              <w:rPr>
                <w:color w:val="auto"/>
                <w:sz w:val="24"/>
                <w:vertAlign w:val="subscript"/>
              </w:rPr>
              <w:t>RO2</w:t>
            </w:r>
            <w:r>
              <w:rPr>
                <w:color w:val="auto"/>
                <w:sz w:val="24"/>
              </w:rPr>
              <w:t>——烟气中二氧化碳（V</w:t>
            </w:r>
            <w:r>
              <w:rPr>
                <w:color w:val="auto"/>
                <w:sz w:val="24"/>
                <w:vertAlign w:val="subscript"/>
              </w:rPr>
              <w:t>CO2</w:t>
            </w:r>
            <w:r>
              <w:rPr>
                <w:color w:val="auto"/>
                <w:sz w:val="24"/>
              </w:rPr>
              <w:t>）和二氧化硫（V</w:t>
            </w:r>
            <w:r>
              <w:rPr>
                <w:color w:val="auto"/>
                <w:sz w:val="24"/>
                <w:vertAlign w:val="subscript"/>
              </w:rPr>
              <w:t>SO2</w:t>
            </w:r>
            <w:r>
              <w:rPr>
                <w:color w:val="auto"/>
                <w:sz w:val="24"/>
              </w:rPr>
              <w:t>）容积之和，</w:t>
            </w:r>
            <w:r>
              <w:rPr>
                <w:rFonts w:hint="eastAsia"/>
                <w:color w:val="auto"/>
                <w:sz w:val="24"/>
                <w:lang w:val="en-US" w:eastAsia="zh-CN"/>
              </w:rPr>
              <w:t>经计算为0.72</w:t>
            </w:r>
            <w:r>
              <w:rPr>
                <w:color w:val="auto"/>
                <w:sz w:val="24"/>
              </w:rPr>
              <w:t>m</w:t>
            </w:r>
            <w:r>
              <w:rPr>
                <w:color w:val="auto"/>
                <w:sz w:val="24"/>
                <w:vertAlign w:val="superscript"/>
              </w:rPr>
              <w:t>3</w:t>
            </w:r>
            <w:r>
              <w:rPr>
                <w:color w:val="auto"/>
                <w:sz w:val="24"/>
              </w:rPr>
              <w:t>/kg；</w:t>
            </w:r>
          </w:p>
          <w:p>
            <w:pPr>
              <w:spacing w:line="440" w:lineRule="exact"/>
              <w:ind w:firstLine="480" w:firstLineChars="200"/>
              <w:rPr>
                <w:color w:val="auto"/>
                <w:sz w:val="24"/>
              </w:rPr>
            </w:pPr>
            <w:r>
              <w:rPr>
                <w:color w:val="auto"/>
                <w:sz w:val="24"/>
              </w:rPr>
              <w:t>Car——收到基碳的质量分数，</w:t>
            </w:r>
            <w:r>
              <w:rPr>
                <w:rFonts w:hint="eastAsia"/>
                <w:color w:val="auto"/>
                <w:sz w:val="24"/>
              </w:rPr>
              <w:t>取38.82</w:t>
            </w:r>
            <w:r>
              <w:rPr>
                <w:color w:val="auto"/>
                <w:sz w:val="24"/>
              </w:rPr>
              <w:t>%；</w:t>
            </w:r>
          </w:p>
          <w:p>
            <w:pPr>
              <w:spacing w:line="440" w:lineRule="exact"/>
              <w:ind w:firstLine="480" w:firstLineChars="200"/>
              <w:rPr>
                <w:color w:val="auto"/>
                <w:sz w:val="24"/>
              </w:rPr>
            </w:pPr>
            <w:r>
              <w:rPr>
                <w:color w:val="auto"/>
                <w:sz w:val="24"/>
              </w:rPr>
              <w:t>Sar——收到基硫的质量分数</w:t>
            </w:r>
            <w:r>
              <w:rPr>
                <w:rFonts w:hint="eastAsia"/>
                <w:color w:val="auto"/>
                <w:sz w:val="24"/>
              </w:rPr>
              <w:t>，</w:t>
            </w:r>
            <w:r>
              <w:rPr>
                <w:color w:val="auto"/>
                <w:sz w:val="24"/>
              </w:rPr>
              <w:t>取</w:t>
            </w:r>
            <w:r>
              <w:rPr>
                <w:rFonts w:hint="eastAsia"/>
                <w:color w:val="auto"/>
                <w:sz w:val="24"/>
              </w:rPr>
              <w:t>0.07</w:t>
            </w:r>
            <w:r>
              <w:rPr>
                <w:color w:val="auto"/>
                <w:sz w:val="24"/>
              </w:rPr>
              <w:t>%；</w:t>
            </w:r>
          </w:p>
          <w:p>
            <w:pPr>
              <w:spacing w:line="440" w:lineRule="exact"/>
              <w:ind w:firstLine="480" w:firstLineChars="200"/>
              <w:rPr>
                <w:color w:val="auto"/>
                <w:sz w:val="24"/>
              </w:rPr>
            </w:pPr>
            <w:r>
              <w:rPr>
                <w:color w:val="auto"/>
                <w:sz w:val="24"/>
              </w:rPr>
              <w:t>V</w:t>
            </w:r>
            <w:r>
              <w:rPr>
                <w:color w:val="auto"/>
                <w:sz w:val="24"/>
                <w:vertAlign w:val="subscript"/>
              </w:rPr>
              <w:t>N2</w:t>
            </w:r>
            <w:r>
              <w:rPr>
                <w:color w:val="auto"/>
                <w:sz w:val="24"/>
              </w:rPr>
              <w:t>——烟气中氮气量，m</w:t>
            </w:r>
            <w:r>
              <w:rPr>
                <w:color w:val="auto"/>
                <w:sz w:val="24"/>
                <w:vertAlign w:val="superscript"/>
              </w:rPr>
              <w:t>3</w:t>
            </w:r>
            <w:r>
              <w:rPr>
                <w:color w:val="auto"/>
                <w:sz w:val="24"/>
              </w:rPr>
              <w:t>/kg</w:t>
            </w:r>
            <w:r>
              <w:rPr>
                <w:rFonts w:hint="eastAsia"/>
                <w:color w:val="auto"/>
                <w:sz w:val="24"/>
              </w:rPr>
              <w:t>，经计算为2</w:t>
            </w:r>
            <w:r>
              <w:rPr>
                <w:color w:val="auto"/>
                <w:sz w:val="24"/>
              </w:rPr>
              <w:t>.7</w:t>
            </w:r>
            <w:r>
              <w:rPr>
                <w:rFonts w:hint="eastAsia"/>
                <w:color w:val="auto"/>
                <w:sz w:val="24"/>
                <w:lang w:val="en-US" w:eastAsia="zh-CN"/>
              </w:rPr>
              <w:t>8</w:t>
            </w:r>
            <w:r>
              <w:rPr>
                <w:color w:val="auto"/>
                <w:sz w:val="24"/>
              </w:rPr>
              <w:t>；</w:t>
            </w:r>
          </w:p>
          <w:p>
            <w:pPr>
              <w:spacing w:line="440" w:lineRule="exact"/>
              <w:ind w:firstLine="480" w:firstLineChars="200"/>
              <w:rPr>
                <w:color w:val="auto"/>
                <w:sz w:val="24"/>
              </w:rPr>
            </w:pPr>
            <w:r>
              <w:rPr>
                <w:color w:val="auto"/>
                <w:sz w:val="24"/>
              </w:rPr>
              <w:t>Nar——收到基氮的质量分数，</w:t>
            </w:r>
            <w:r>
              <w:rPr>
                <w:rFonts w:hint="eastAsia"/>
                <w:color w:val="auto"/>
                <w:sz w:val="24"/>
              </w:rPr>
              <w:t>取0.27</w:t>
            </w:r>
            <w:r>
              <w:rPr>
                <w:color w:val="auto"/>
                <w:sz w:val="24"/>
              </w:rPr>
              <w:t>%；</w:t>
            </w:r>
          </w:p>
          <w:p>
            <w:pPr>
              <w:spacing w:line="440" w:lineRule="exact"/>
              <w:ind w:firstLine="480" w:firstLineChars="200"/>
              <w:rPr>
                <w:color w:val="auto"/>
                <w:sz w:val="24"/>
              </w:rPr>
            </w:pPr>
            <w:r>
              <w:rPr>
                <w:color w:val="auto"/>
                <w:sz w:val="24"/>
              </w:rPr>
              <w:t>V</w:t>
            </w:r>
            <w:r>
              <w:rPr>
                <w:color w:val="auto"/>
                <w:sz w:val="24"/>
                <w:vertAlign w:val="subscript"/>
              </w:rPr>
              <w:t>0</w:t>
            </w:r>
            <w:r>
              <w:rPr>
                <w:color w:val="auto"/>
                <w:sz w:val="24"/>
              </w:rPr>
              <w:t>——理论空气量，m</w:t>
            </w:r>
            <w:r>
              <w:rPr>
                <w:color w:val="auto"/>
                <w:sz w:val="24"/>
                <w:vertAlign w:val="superscript"/>
              </w:rPr>
              <w:t>3</w:t>
            </w:r>
            <w:r>
              <w:rPr>
                <w:color w:val="auto"/>
                <w:sz w:val="24"/>
              </w:rPr>
              <w:t>/kg</w:t>
            </w:r>
            <w:r>
              <w:rPr>
                <w:rFonts w:hint="eastAsia"/>
                <w:color w:val="auto"/>
                <w:sz w:val="24"/>
              </w:rPr>
              <w:t>，经计算为3</w:t>
            </w:r>
            <w:r>
              <w:rPr>
                <w:color w:val="auto"/>
                <w:sz w:val="24"/>
              </w:rPr>
              <w:t>.</w:t>
            </w:r>
            <w:r>
              <w:rPr>
                <w:rFonts w:hint="eastAsia"/>
                <w:color w:val="auto"/>
                <w:sz w:val="24"/>
                <w:lang w:val="en-US" w:eastAsia="zh-CN"/>
              </w:rPr>
              <w:t>51</w:t>
            </w:r>
            <w:r>
              <w:rPr>
                <w:color w:val="auto"/>
                <w:sz w:val="24"/>
              </w:rPr>
              <w:t>；</w:t>
            </w:r>
          </w:p>
          <w:p>
            <w:pPr>
              <w:spacing w:line="440" w:lineRule="exact"/>
              <w:ind w:firstLine="480" w:firstLineChars="200"/>
              <w:rPr>
                <w:color w:val="auto"/>
                <w:sz w:val="24"/>
              </w:rPr>
            </w:pPr>
            <w:r>
              <w:rPr>
                <w:color w:val="auto"/>
                <w:sz w:val="24"/>
              </w:rPr>
              <w:t>Vg——干烟气排放量，</w:t>
            </w:r>
            <w:r>
              <w:rPr>
                <w:rFonts w:hint="eastAsia"/>
                <w:color w:val="auto"/>
                <w:sz w:val="24"/>
                <w:lang w:val="en-US" w:eastAsia="zh-CN"/>
              </w:rPr>
              <w:t>经计算为5.9582759</w:t>
            </w:r>
            <w:r>
              <w:rPr>
                <w:color w:val="auto"/>
                <w:sz w:val="24"/>
              </w:rPr>
              <w:t>m</w:t>
            </w:r>
            <w:r>
              <w:rPr>
                <w:color w:val="auto"/>
                <w:sz w:val="24"/>
                <w:vertAlign w:val="superscript"/>
              </w:rPr>
              <w:t>3</w:t>
            </w:r>
            <w:r>
              <w:rPr>
                <w:color w:val="auto"/>
                <w:sz w:val="24"/>
              </w:rPr>
              <w:t>/kg；</w:t>
            </w:r>
          </w:p>
          <w:p>
            <w:pPr>
              <w:spacing w:line="440" w:lineRule="exact"/>
              <w:ind w:firstLine="480" w:firstLineChars="200"/>
              <w:rPr>
                <w:color w:val="auto"/>
                <w:sz w:val="24"/>
              </w:rPr>
            </w:pPr>
            <w:r>
              <w:rPr>
                <w:color w:val="auto"/>
                <w:sz w:val="24"/>
              </w:rPr>
              <w:t>α——过量空气系数，</w:t>
            </w:r>
            <w:r>
              <w:rPr>
                <w:iCs/>
                <w:color w:val="auto"/>
                <w:sz w:val="24"/>
              </w:rPr>
              <w:t>根据</w:t>
            </w:r>
            <w:r>
              <w:rPr>
                <w:rFonts w:hint="eastAsia"/>
                <w:iCs/>
                <w:color w:val="auto"/>
                <w:sz w:val="24"/>
              </w:rPr>
              <w:t>《工业炉窑大气污染物排放标准》</w:t>
            </w:r>
            <w:r>
              <w:rPr>
                <w:rFonts w:hint="eastAsia"/>
                <w:iCs/>
                <w:color w:val="auto"/>
                <w:sz w:val="24"/>
                <w:lang w:eastAsia="zh-CN"/>
              </w:rPr>
              <w:t>（</w:t>
            </w:r>
            <w:r>
              <w:rPr>
                <w:rFonts w:hint="eastAsia"/>
                <w:iCs/>
                <w:color w:val="auto"/>
                <w:sz w:val="24"/>
              </w:rPr>
              <w:t>GB9078-1996</w:t>
            </w:r>
            <w:r>
              <w:rPr>
                <w:rFonts w:hint="eastAsia"/>
                <w:iCs/>
                <w:color w:val="auto"/>
                <w:sz w:val="24"/>
                <w:lang w:eastAsia="zh-CN"/>
              </w:rPr>
              <w:t>）</w:t>
            </w:r>
            <w:r>
              <w:rPr>
                <w:iCs/>
                <w:color w:val="auto"/>
                <w:sz w:val="24"/>
              </w:rPr>
              <w:t>，取1.</w:t>
            </w:r>
            <w:r>
              <w:rPr>
                <w:rFonts w:hint="eastAsia"/>
                <w:iCs/>
                <w:color w:val="auto"/>
                <w:sz w:val="24"/>
                <w:lang w:val="en-US" w:eastAsia="zh-CN"/>
              </w:rPr>
              <w:t>7</w:t>
            </w:r>
            <w:r>
              <w:rPr>
                <w:iCs/>
                <w:color w:val="auto"/>
                <w:sz w:val="24"/>
              </w:rPr>
              <w:t>；</w:t>
            </w:r>
          </w:p>
          <w:p>
            <w:pPr>
              <w:snapToGrid w:val="0"/>
              <w:spacing w:line="360" w:lineRule="auto"/>
              <w:ind w:firstLine="480" w:firstLineChars="200"/>
              <w:rPr>
                <w:color w:val="auto"/>
                <w:sz w:val="24"/>
                <w:highlight w:val="none"/>
              </w:rPr>
            </w:pPr>
            <w:r>
              <w:rPr>
                <w:color w:val="auto"/>
                <w:sz w:val="24"/>
              </w:rPr>
              <w:t>本项目燃料耗量为</w:t>
            </w:r>
            <w:r>
              <w:rPr>
                <w:rFonts w:hint="eastAsia"/>
                <w:color w:val="auto"/>
                <w:sz w:val="24"/>
                <w:lang w:val="en-US" w:eastAsia="zh-CN"/>
              </w:rPr>
              <w:t>1250t/a</w:t>
            </w:r>
            <w:r>
              <w:rPr>
                <w:rFonts w:hint="eastAsia"/>
                <w:color w:val="auto"/>
                <w:sz w:val="24"/>
              </w:rPr>
              <w:t>，</w:t>
            </w:r>
            <w:r>
              <w:rPr>
                <w:color w:val="auto"/>
                <w:sz w:val="24"/>
              </w:rPr>
              <w:t>经计算实际干烟气量</w:t>
            </w:r>
            <w:r>
              <w:rPr>
                <w:rFonts w:hint="eastAsia"/>
                <w:color w:val="auto"/>
                <w:sz w:val="24"/>
              </w:rPr>
              <w:t>为</w:t>
            </w:r>
            <w:r>
              <w:rPr>
                <w:rFonts w:hint="eastAsia"/>
                <w:color w:val="auto"/>
                <w:sz w:val="24"/>
                <w:lang w:val="en-US" w:eastAsia="zh-CN"/>
              </w:rPr>
              <w:t>7447845</w:t>
            </w:r>
            <w:r>
              <w:rPr>
                <w:color w:val="auto"/>
                <w:sz w:val="24"/>
              </w:rPr>
              <w:t>Nm</w:t>
            </w:r>
            <w:r>
              <w:rPr>
                <w:color w:val="auto"/>
                <w:sz w:val="24"/>
                <w:vertAlign w:val="superscript"/>
              </w:rPr>
              <w:t>3</w:t>
            </w:r>
            <w:r>
              <w:rPr>
                <w:color w:val="auto"/>
                <w:sz w:val="24"/>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 xml:space="preserve">b）烟尘排放量按下式计算  </w:t>
            </w:r>
          </w:p>
          <w:p>
            <w:pPr>
              <w:pStyle w:val="11"/>
              <w:shd w:val="clear" w:color="auto" w:fill="auto"/>
              <w:rPr>
                <w:color w:val="auto"/>
                <w:highlight w:val="none"/>
              </w:rPr>
            </w:pPr>
            <w:r>
              <w:rPr>
                <w:color w:val="auto"/>
                <w:sz w:val="24"/>
                <w:highlight w:val="none"/>
              </w:rPr>
              <w:drawing>
                <wp:anchor distT="0" distB="0" distL="114300" distR="114300" simplePos="0" relativeHeight="251664384" behindDoc="1" locked="0" layoutInCell="1" allowOverlap="1">
                  <wp:simplePos x="0" y="0"/>
                  <wp:positionH relativeFrom="column">
                    <wp:posOffset>387350</wp:posOffset>
                  </wp:positionH>
                  <wp:positionV relativeFrom="paragraph">
                    <wp:posOffset>-27940</wp:posOffset>
                  </wp:positionV>
                  <wp:extent cx="2130425" cy="823595"/>
                  <wp:effectExtent l="0" t="0" r="3175" b="14605"/>
                  <wp:wrapNone/>
                  <wp:docPr id="1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2"/>
                          <pic:cNvPicPr>
                            <a:picLocks noChangeAspect="1"/>
                          </pic:cNvPicPr>
                        </pic:nvPicPr>
                        <pic:blipFill>
                          <a:blip r:embed="rId23"/>
                          <a:srcRect t="-6538" b="-6538"/>
                          <a:stretch>
                            <a:fillRect/>
                          </a:stretch>
                        </pic:blipFill>
                        <pic:spPr>
                          <a:xfrm>
                            <a:off x="0" y="0"/>
                            <a:ext cx="2130425" cy="823595"/>
                          </a:xfrm>
                          <a:prstGeom prst="rect">
                            <a:avLst/>
                          </a:prstGeom>
                          <a:noFill/>
                          <a:ln>
                            <a:noFill/>
                          </a:ln>
                        </pic:spPr>
                      </pic:pic>
                    </a:graphicData>
                  </a:graphic>
                </wp:anchor>
              </w:drawing>
            </w:r>
          </w:p>
          <w:p>
            <w:pPr>
              <w:pStyle w:val="93"/>
              <w:shd w:val="clear" w:color="auto" w:fill="auto"/>
              <w:rPr>
                <w:color w:val="auto"/>
                <w:highlight w:val="none"/>
              </w:rPr>
            </w:pPr>
          </w:p>
          <w:p>
            <w:pPr>
              <w:pStyle w:val="9"/>
              <w:shd w:val="clear" w:color="auto" w:fill="auto"/>
              <w:rPr>
                <w:color w:val="auto"/>
                <w:highlight w:val="none"/>
              </w:rPr>
            </w:pPr>
          </w:p>
          <w:bookmarkEnd w:id="21"/>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式中：</w:t>
            </w:r>
          </w:p>
          <w:p>
            <w:pPr>
              <w:adjustRightInd w:val="0"/>
              <w:snapToGrid w:val="0"/>
              <w:spacing w:line="360" w:lineRule="auto"/>
              <w:ind w:firstLine="480" w:firstLineChars="200"/>
              <w:rPr>
                <w:iCs/>
                <w:color w:val="auto"/>
                <w:sz w:val="24"/>
              </w:rPr>
            </w:pPr>
            <w:bookmarkStart w:id="30" w:name="_Hlk65495966"/>
            <w:r>
              <w:rPr>
                <w:i/>
                <w:color w:val="auto"/>
                <w:sz w:val="24"/>
              </w:rPr>
              <w:t>E</w:t>
            </w:r>
            <w:r>
              <w:rPr>
                <w:i/>
                <w:color w:val="auto"/>
                <w:sz w:val="24"/>
                <w:vertAlign w:val="subscript"/>
              </w:rPr>
              <w:t>A</w:t>
            </w:r>
            <w:r>
              <w:rPr>
                <w:iCs/>
                <w:color w:val="auto"/>
                <w:sz w:val="24"/>
              </w:rPr>
              <w:t>——核算时段内颗粒物（烟尘）排放量，t；</w:t>
            </w:r>
          </w:p>
          <w:p>
            <w:pPr>
              <w:adjustRightInd w:val="0"/>
              <w:snapToGrid w:val="0"/>
              <w:spacing w:line="360" w:lineRule="auto"/>
              <w:ind w:firstLine="480" w:firstLineChars="200"/>
              <w:rPr>
                <w:rFonts w:hint="eastAsia" w:eastAsia="宋体"/>
                <w:iCs/>
                <w:color w:val="auto"/>
                <w:sz w:val="24"/>
                <w:lang w:val="en-US" w:eastAsia="zh-CN"/>
              </w:rPr>
            </w:pPr>
            <w:r>
              <w:rPr>
                <w:i/>
                <w:color w:val="auto"/>
                <w:sz w:val="24"/>
              </w:rPr>
              <w:t>R</w:t>
            </w:r>
            <w:r>
              <w:rPr>
                <w:iCs/>
                <w:color w:val="auto"/>
                <w:sz w:val="24"/>
              </w:rPr>
              <w:t>——核算时段内燃</w:t>
            </w:r>
            <w:r>
              <w:rPr>
                <w:rFonts w:hint="eastAsia"/>
                <w:iCs/>
                <w:color w:val="auto"/>
                <w:sz w:val="24"/>
                <w:lang w:eastAsia="zh-CN"/>
              </w:rPr>
              <w:t>料消</w:t>
            </w:r>
            <w:r>
              <w:rPr>
                <w:iCs/>
                <w:color w:val="auto"/>
                <w:sz w:val="24"/>
              </w:rPr>
              <w:t>耗量，</w:t>
            </w:r>
            <w:r>
              <w:rPr>
                <w:rFonts w:hint="eastAsia"/>
                <w:iCs/>
                <w:color w:val="auto"/>
                <w:sz w:val="24"/>
                <w:lang w:val="en-US" w:eastAsia="zh-CN"/>
              </w:rPr>
              <w:t>1250</w:t>
            </w:r>
            <w:r>
              <w:rPr>
                <w:iCs/>
                <w:color w:val="auto"/>
                <w:sz w:val="24"/>
              </w:rPr>
              <w:t>t；</w:t>
            </w:r>
          </w:p>
          <w:p>
            <w:pPr>
              <w:adjustRightInd w:val="0"/>
              <w:snapToGrid w:val="0"/>
              <w:spacing w:line="360" w:lineRule="auto"/>
              <w:ind w:firstLine="480" w:firstLineChars="200"/>
              <w:rPr>
                <w:rFonts w:hint="default"/>
                <w:iCs/>
                <w:color w:val="auto"/>
                <w:sz w:val="24"/>
                <w:lang w:val="en-US"/>
              </w:rPr>
            </w:pPr>
            <w:r>
              <w:rPr>
                <w:rFonts w:hint="eastAsia" w:ascii="Times New Roman" w:hAnsi="Times New Roman" w:eastAsia="宋体" w:cs="Times New Roman"/>
                <w:color w:val="auto"/>
                <w:kern w:val="0"/>
                <w:sz w:val="24"/>
                <w:szCs w:val="20"/>
                <w:lang w:val="en-US" w:eastAsia="zh-CN" w:bidi="ar-SA"/>
              </w:rPr>
              <w:t>A</w:t>
            </w:r>
            <w:r>
              <w:rPr>
                <w:rFonts w:hint="eastAsia" w:ascii="Times New Roman" w:hAnsi="Times New Roman" w:eastAsia="宋体" w:cs="Times New Roman"/>
                <w:color w:val="auto"/>
                <w:kern w:val="0"/>
                <w:sz w:val="24"/>
                <w:szCs w:val="20"/>
                <w:vertAlign w:val="subscript"/>
                <w:lang w:val="en-US" w:eastAsia="zh-CN" w:bidi="ar-SA"/>
              </w:rPr>
              <w:t>ar</w:t>
            </w:r>
            <w:r>
              <w:rPr>
                <w:rFonts w:hint="eastAsia" w:ascii="Times New Roman" w:hAnsi="Times New Roman" w:eastAsia="宋体" w:cs="Times New Roman"/>
                <w:color w:val="auto"/>
                <w:kern w:val="0"/>
                <w:sz w:val="24"/>
                <w:szCs w:val="20"/>
                <w:lang w:val="en-US" w:eastAsia="zh-CN" w:bidi="ar-SA"/>
              </w:rPr>
              <w:t>—收到基灰分的质量分数，%；取16.33</w:t>
            </w:r>
          </w:p>
          <w:p>
            <w:pPr>
              <w:adjustRightInd w:val="0"/>
              <w:snapToGrid w:val="0"/>
              <w:spacing w:line="360" w:lineRule="auto"/>
              <w:ind w:firstLine="480" w:firstLineChars="200"/>
              <w:rPr>
                <w:iCs/>
                <w:color w:val="auto"/>
                <w:sz w:val="24"/>
              </w:rPr>
            </w:pPr>
            <w:r>
              <w:rPr>
                <w:i/>
                <w:color w:val="auto"/>
                <w:sz w:val="24"/>
              </w:rPr>
              <w:t>d</w:t>
            </w:r>
            <w:r>
              <w:rPr>
                <w:i/>
                <w:color w:val="auto"/>
                <w:sz w:val="24"/>
                <w:vertAlign w:val="subscript"/>
              </w:rPr>
              <w:t>fh</w:t>
            </w:r>
            <w:r>
              <w:rPr>
                <w:iCs/>
                <w:color w:val="auto"/>
                <w:sz w:val="24"/>
              </w:rPr>
              <w:t>——烟气带出的飞灰份额，%，</w:t>
            </w:r>
            <w:r>
              <w:rPr>
                <w:rFonts w:hint="eastAsia"/>
                <w:iCs/>
                <w:color w:val="auto"/>
                <w:sz w:val="24"/>
                <w:lang w:val="en-US" w:eastAsia="zh-CN"/>
              </w:rPr>
              <w:t>参考</w:t>
            </w:r>
            <w:r>
              <w:rPr>
                <w:color w:val="auto"/>
                <w:sz w:val="24"/>
              </w:rPr>
              <w:t>《污染源源强核算技术指南 锅炉》（HJ991-2018）表B.2，</w:t>
            </w:r>
            <w:r>
              <w:rPr>
                <w:iCs/>
                <w:color w:val="auto"/>
                <w:sz w:val="24"/>
              </w:rPr>
              <w:t>本项目取</w:t>
            </w:r>
            <w:r>
              <w:rPr>
                <w:rFonts w:hint="eastAsia"/>
                <w:iCs/>
                <w:color w:val="auto"/>
                <w:sz w:val="24"/>
                <w:lang w:val="en-US" w:eastAsia="zh-CN"/>
              </w:rPr>
              <w:t>45</w:t>
            </w:r>
            <w:r>
              <w:rPr>
                <w:iCs/>
                <w:color w:val="auto"/>
                <w:sz w:val="24"/>
              </w:rPr>
              <w:t>；</w:t>
            </w:r>
          </w:p>
          <w:p>
            <w:pPr>
              <w:adjustRightInd w:val="0"/>
              <w:snapToGrid w:val="0"/>
              <w:spacing w:line="360" w:lineRule="auto"/>
              <w:ind w:firstLine="480" w:firstLineChars="200"/>
              <w:rPr>
                <w:iCs/>
                <w:color w:val="auto"/>
                <w:sz w:val="24"/>
              </w:rPr>
            </w:pPr>
            <w:r>
              <w:rPr>
                <w:i/>
                <w:color w:val="auto"/>
                <w:sz w:val="24"/>
              </w:rPr>
              <w:t>η</w:t>
            </w:r>
            <w:r>
              <w:rPr>
                <w:i/>
                <w:color w:val="auto"/>
                <w:sz w:val="24"/>
                <w:vertAlign w:val="subscript"/>
              </w:rPr>
              <w:t>c</w:t>
            </w:r>
            <w:r>
              <w:rPr>
                <w:iCs/>
                <w:color w:val="auto"/>
                <w:sz w:val="24"/>
              </w:rPr>
              <w:t>——综合除尘效率，%，本项目烟气除尘措施为布袋除尘器，取99%；</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iCs/>
                <w:color w:val="auto"/>
                <w:sz w:val="24"/>
              </w:rPr>
              <w:t>C</w:t>
            </w:r>
            <w:r>
              <w:rPr>
                <w:iCs/>
                <w:color w:val="auto"/>
                <w:sz w:val="24"/>
                <w:vertAlign w:val="subscript"/>
              </w:rPr>
              <w:t>fh</w:t>
            </w:r>
            <w:r>
              <w:rPr>
                <w:iCs/>
                <w:color w:val="auto"/>
                <w:sz w:val="24"/>
              </w:rPr>
              <w:t>——飞灰中的可燃物含量，%，本项目取1</w:t>
            </w:r>
            <w:r>
              <w:rPr>
                <w:rFonts w:hint="eastAsia"/>
                <w:iCs/>
                <w:color w:val="auto"/>
                <w:sz w:val="24"/>
                <w:lang w:val="en-US" w:eastAsia="zh-CN"/>
              </w:rPr>
              <w:t>0</w:t>
            </w:r>
            <w:r>
              <w:rPr>
                <w:iCs/>
                <w:color w:val="auto"/>
                <w:sz w:val="24"/>
              </w:rPr>
              <w:t>%</w:t>
            </w:r>
            <w:r>
              <w:rPr>
                <w:rFonts w:hint="eastAsia"/>
                <w:iCs/>
                <w:color w:val="auto"/>
                <w:sz w:val="24"/>
                <w:lang w:eastAsia="zh-CN"/>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c）二氧化硫排放量按下式计算</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drawing>
                <wp:anchor distT="0" distB="0" distL="114300" distR="114300" simplePos="0" relativeHeight="251665408" behindDoc="1" locked="0" layoutInCell="1" allowOverlap="1">
                  <wp:simplePos x="0" y="0"/>
                  <wp:positionH relativeFrom="column">
                    <wp:posOffset>496570</wp:posOffset>
                  </wp:positionH>
                  <wp:positionV relativeFrom="paragraph">
                    <wp:posOffset>-29845</wp:posOffset>
                  </wp:positionV>
                  <wp:extent cx="3218815" cy="483870"/>
                  <wp:effectExtent l="0" t="0" r="635" b="11430"/>
                  <wp:wrapNone/>
                  <wp:docPr id="1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8"/>
                          <pic:cNvPicPr>
                            <a:picLocks noChangeAspect="1"/>
                          </pic:cNvPicPr>
                        </pic:nvPicPr>
                        <pic:blipFill>
                          <a:blip r:embed="rId24"/>
                          <a:srcRect t="3656" b="14409"/>
                          <a:stretch>
                            <a:fillRect/>
                          </a:stretch>
                        </pic:blipFill>
                        <pic:spPr>
                          <a:xfrm>
                            <a:off x="0" y="0"/>
                            <a:ext cx="3218815" cy="483870"/>
                          </a:xfrm>
                          <a:prstGeom prst="rect">
                            <a:avLst/>
                          </a:prstGeom>
                          <a:noFill/>
                          <a:ln>
                            <a:noFill/>
                          </a:ln>
                        </pic:spPr>
                      </pic:pic>
                    </a:graphicData>
                  </a:graphic>
                </wp:anchor>
              </w:drawing>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式中：</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E</w:t>
            </w:r>
            <w:r>
              <w:rPr>
                <w:color w:val="auto"/>
                <w:sz w:val="24"/>
                <w:highlight w:val="none"/>
                <w:vertAlign w:val="subscript"/>
              </w:rPr>
              <w:t>SO2</w:t>
            </w:r>
            <w:r>
              <w:rPr>
                <w:color w:val="auto"/>
                <w:sz w:val="24"/>
                <w:highlight w:val="none"/>
              </w:rPr>
              <w:t>——核算时段内SO</w:t>
            </w:r>
            <w:r>
              <w:rPr>
                <w:color w:val="auto"/>
                <w:sz w:val="24"/>
                <w:highlight w:val="none"/>
                <w:vertAlign w:val="subscript"/>
              </w:rPr>
              <w:t>2</w:t>
            </w:r>
            <w:r>
              <w:rPr>
                <w:color w:val="auto"/>
                <w:sz w:val="24"/>
                <w:highlight w:val="none"/>
              </w:rPr>
              <w:t>排放量，t；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R——核算时段内锅炉燃料耗量，</w:t>
            </w:r>
            <w:r>
              <w:rPr>
                <w:rFonts w:hint="eastAsia"/>
                <w:color w:val="auto"/>
                <w:sz w:val="24"/>
                <w:highlight w:val="none"/>
              </w:rPr>
              <w:t>生物质燃料</w:t>
            </w:r>
            <w:r>
              <w:rPr>
                <w:color w:val="auto"/>
                <w:sz w:val="24"/>
                <w:highlight w:val="none"/>
              </w:rPr>
              <w:t>量</w:t>
            </w:r>
            <w:r>
              <w:rPr>
                <w:rFonts w:hint="eastAsia"/>
                <w:color w:val="auto"/>
                <w:sz w:val="24"/>
                <w:highlight w:val="none"/>
              </w:rPr>
              <w:t>为</w:t>
            </w:r>
            <w:r>
              <w:rPr>
                <w:rFonts w:hint="eastAsia" w:cs="Times New Roman"/>
                <w:color w:val="auto"/>
                <w:kern w:val="0"/>
                <w:sz w:val="24"/>
                <w:szCs w:val="24"/>
                <w:lang w:val="en-US" w:eastAsia="zh-CN"/>
              </w:rPr>
              <w:t>1250</w:t>
            </w:r>
            <w:r>
              <w:rPr>
                <w:rFonts w:hint="eastAsia"/>
                <w:color w:val="auto"/>
                <w:sz w:val="24"/>
                <w:highlight w:val="none"/>
              </w:rPr>
              <w:t>t</w:t>
            </w:r>
            <w:r>
              <w:rPr>
                <w:color w:val="auto"/>
                <w:sz w:val="24"/>
                <w:highlight w:val="none"/>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Sar——收到基硫分的质量分数，</w:t>
            </w:r>
            <w:r>
              <w:rPr>
                <w:rFonts w:hint="eastAsia"/>
                <w:color w:val="auto"/>
                <w:sz w:val="24"/>
                <w:highlight w:val="none"/>
              </w:rPr>
              <w:t>0.0</w:t>
            </w:r>
            <w:r>
              <w:rPr>
                <w:rFonts w:hint="eastAsia"/>
                <w:color w:val="auto"/>
                <w:sz w:val="24"/>
                <w:highlight w:val="none"/>
                <w:lang w:val="en-US" w:eastAsia="zh-CN"/>
              </w:rPr>
              <w:t>7</w:t>
            </w:r>
            <w:r>
              <w:rPr>
                <w:color w:val="auto"/>
                <w:sz w:val="24"/>
                <w:highlight w:val="none"/>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q</w:t>
            </w:r>
            <w:r>
              <w:rPr>
                <w:color w:val="auto"/>
                <w:sz w:val="24"/>
                <w:highlight w:val="none"/>
                <w:vertAlign w:val="subscript"/>
              </w:rPr>
              <w:t>4</w:t>
            </w:r>
            <w:r>
              <w:rPr>
                <w:color w:val="auto"/>
                <w:sz w:val="24"/>
                <w:highlight w:val="none"/>
              </w:rPr>
              <w:t>——锅炉机械不完全燃烧热损失，</w:t>
            </w:r>
            <w:r>
              <w:rPr>
                <w:rFonts w:hint="eastAsia"/>
                <w:color w:val="auto"/>
                <w:sz w:val="24"/>
                <w:highlight w:val="none"/>
              </w:rPr>
              <w:t>取</w:t>
            </w:r>
            <w:r>
              <w:rPr>
                <w:color w:val="auto"/>
                <w:sz w:val="24"/>
                <w:highlight w:val="none"/>
              </w:rPr>
              <w:t>10</w:t>
            </w:r>
            <w:r>
              <w:rPr>
                <w:b/>
                <w:color w:val="auto"/>
                <w:sz w:val="24"/>
                <w:highlight w:val="none"/>
              </w:rPr>
              <w:t>%</w:t>
            </w:r>
            <w:r>
              <w:rPr>
                <w:color w:val="auto"/>
                <w:sz w:val="24"/>
                <w:highlight w:val="none"/>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ηs——脱硫效率，取</w:t>
            </w:r>
            <w:r>
              <w:rPr>
                <w:rFonts w:hint="eastAsia"/>
                <w:color w:val="auto"/>
                <w:sz w:val="24"/>
                <w:highlight w:val="none"/>
              </w:rPr>
              <w:t>0</w:t>
            </w:r>
            <w:r>
              <w:rPr>
                <w:color w:val="auto"/>
                <w:sz w:val="24"/>
                <w:highlight w:val="none"/>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K——燃料中的硫燃烧后氧化成二氧化硫的份额，</w:t>
            </w:r>
            <w:r>
              <w:rPr>
                <w:rFonts w:hint="eastAsia"/>
                <w:color w:val="auto"/>
                <w:sz w:val="24"/>
                <w:highlight w:val="none"/>
              </w:rPr>
              <w:t>本环评取</w:t>
            </w:r>
            <w:r>
              <w:rPr>
                <w:color w:val="auto"/>
                <w:sz w:val="24"/>
                <w:highlight w:val="none"/>
              </w:rPr>
              <w:t>0.4；</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d）氮氧化物排放量</w:t>
            </w:r>
          </w:p>
          <w:p>
            <w:pPr>
              <w:keepNext w:val="0"/>
              <w:keepLines w:val="0"/>
              <w:pageBreakBefore w:val="0"/>
              <w:shd w:val="clear" w:color="auto" w:fill="auto"/>
              <w:kinsoku/>
              <w:wordWrap/>
              <w:overflowPunct/>
              <w:topLinePunct w:val="0"/>
              <w:autoSpaceDE/>
              <w:autoSpaceDN/>
              <w:bidi w:val="0"/>
              <w:spacing w:line="360" w:lineRule="auto"/>
              <w:ind w:firstLine="420" w:firstLineChars="200"/>
              <w:textAlignment w:val="auto"/>
              <w:rPr>
                <w:color w:val="auto"/>
              </w:rPr>
            </w:pPr>
            <w:r>
              <w:rPr>
                <w:color w:val="auto"/>
              </w:rPr>
              <w:drawing>
                <wp:inline distT="0" distB="0" distL="114300" distR="114300">
                  <wp:extent cx="3152775" cy="657225"/>
                  <wp:effectExtent l="0" t="0" r="9525" b="952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25"/>
                          <a:stretch>
                            <a:fillRect/>
                          </a:stretch>
                        </pic:blipFill>
                        <pic:spPr>
                          <a:xfrm>
                            <a:off x="0" y="0"/>
                            <a:ext cx="3152775" cy="657225"/>
                          </a:xfrm>
                          <a:prstGeom prst="rect">
                            <a:avLst/>
                          </a:prstGeom>
                          <a:noFill/>
                          <a:ln>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式中： E</w:t>
            </w:r>
            <w:r>
              <w:rPr>
                <w:rFonts w:hint="default" w:ascii="Times New Roman" w:hAnsi="Times New Roman" w:eastAsia="宋体" w:cs="Times New Roman"/>
                <w:color w:val="auto"/>
                <w:kern w:val="0"/>
                <w:sz w:val="24"/>
                <w:szCs w:val="24"/>
                <w:vertAlign w:val="subscript"/>
                <w:lang w:val="en-US" w:eastAsia="zh-CN" w:bidi="ar"/>
              </w:rPr>
              <w:t>NOx</w:t>
            </w:r>
            <w:r>
              <w:rPr>
                <w:rFonts w:hint="default" w:ascii="Times New Roman" w:hAnsi="Times New Roman" w:eastAsia="宋体" w:cs="Times New Roman"/>
                <w:color w:val="auto"/>
                <w:kern w:val="0"/>
                <w:sz w:val="24"/>
                <w:szCs w:val="24"/>
                <w:lang w:val="en-US" w:eastAsia="zh-CN" w:bidi="ar"/>
              </w:rPr>
              <w:t xml:space="preserve">——核算时段内氮氧化物排放量，t；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ρ</w:t>
            </w:r>
            <w:r>
              <w:rPr>
                <w:rFonts w:hint="default" w:ascii="Times New Roman" w:hAnsi="Times New Roman" w:eastAsia="宋体" w:cs="Times New Roman"/>
                <w:color w:val="auto"/>
                <w:kern w:val="0"/>
                <w:sz w:val="24"/>
                <w:szCs w:val="24"/>
                <w:vertAlign w:val="subscript"/>
                <w:lang w:val="en-US" w:eastAsia="zh-CN" w:bidi="ar"/>
              </w:rPr>
              <w:t>NOx</w:t>
            </w:r>
            <w:r>
              <w:rPr>
                <w:rFonts w:hint="default" w:ascii="Times New Roman" w:hAnsi="Times New Roman" w:eastAsia="宋体" w:cs="Times New Roman"/>
                <w:color w:val="auto"/>
                <w:kern w:val="0"/>
                <w:sz w:val="24"/>
                <w:szCs w:val="24"/>
                <w:lang w:val="en-US" w:eastAsia="zh-CN" w:bidi="ar"/>
              </w:rPr>
              <w:t>——炉膛出口氮氧化物质量浓度，</w:t>
            </w:r>
            <w:r>
              <w:rPr>
                <w:rFonts w:hint="eastAsia" w:cs="Times New Roman"/>
                <w:color w:val="auto"/>
                <w:kern w:val="0"/>
                <w:sz w:val="24"/>
                <w:szCs w:val="24"/>
                <w:lang w:val="en-US" w:eastAsia="zh-CN" w:bidi="ar"/>
              </w:rPr>
              <w:t>产生浓度180</w:t>
            </w:r>
            <w:r>
              <w:rPr>
                <w:rFonts w:hint="default" w:ascii="Times New Roman" w:hAnsi="Times New Roman" w:eastAsia="宋体" w:cs="Times New Roman"/>
                <w:color w:val="auto"/>
                <w:kern w:val="0"/>
                <w:sz w:val="24"/>
                <w:szCs w:val="24"/>
                <w:lang w:val="en-US" w:eastAsia="zh-CN" w:bidi="ar"/>
              </w:rPr>
              <w:t>mg/m</w:t>
            </w:r>
            <w:r>
              <w:rPr>
                <w:rFonts w:hint="default" w:ascii="Times New Roman" w:hAnsi="Times New Roman" w:eastAsia="宋体" w:cs="Times New Roman"/>
                <w:color w:val="auto"/>
                <w:kern w:val="0"/>
                <w:sz w:val="24"/>
                <w:szCs w:val="24"/>
                <w:vertAlign w:val="superscript"/>
                <w:lang w:val="en-US" w:eastAsia="zh-CN" w:bidi="ar"/>
              </w:rPr>
              <w:t>3</w:t>
            </w:r>
            <w:r>
              <w:rPr>
                <w:rFonts w:hint="eastAsia" w:cs="Times New Roman"/>
                <w:color w:val="auto"/>
                <w:kern w:val="0"/>
                <w:sz w:val="24"/>
                <w:szCs w:val="24"/>
                <w:lang w:val="en-US" w:eastAsia="zh-CN" w:bidi="ar"/>
              </w:rPr>
              <w:t>，采用低氮燃烧技术，从源头控制NOx产生，控制效率为30%，</w:t>
            </w:r>
            <w:r>
              <w:rPr>
                <w:rFonts w:hint="default" w:ascii="Times New Roman" w:hAnsi="Times New Roman" w:eastAsia="宋体" w:cs="Times New Roman"/>
                <w:color w:val="auto"/>
                <w:kern w:val="0"/>
                <w:sz w:val="24"/>
                <w:szCs w:val="24"/>
                <w:lang w:val="en-US" w:eastAsia="zh-CN" w:bidi="ar"/>
              </w:rPr>
              <w:t>本环评取1</w:t>
            </w:r>
            <w:r>
              <w:rPr>
                <w:rFonts w:hint="eastAsia" w:cs="Times New Roman"/>
                <w:color w:val="auto"/>
                <w:kern w:val="0"/>
                <w:sz w:val="24"/>
                <w:szCs w:val="24"/>
                <w:lang w:val="en-US" w:eastAsia="zh-CN" w:bidi="ar"/>
              </w:rPr>
              <w:t>26</w:t>
            </w:r>
            <w:r>
              <w:rPr>
                <w:rFonts w:hint="default" w:ascii="Times New Roman" w:hAnsi="Times New Roman" w:eastAsia="宋体" w:cs="Times New Roman"/>
                <w:color w:val="auto"/>
                <w:kern w:val="0"/>
                <w:sz w:val="24"/>
                <w:szCs w:val="24"/>
                <w:lang w:val="en-US" w:eastAsia="zh-CN" w:bidi="ar"/>
              </w:rPr>
              <w:t>mg/m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Q——干烟气排放量，为</w:t>
            </w:r>
            <w:r>
              <w:rPr>
                <w:rFonts w:hint="eastAsia" w:cs="Times New Roman"/>
                <w:color w:val="auto"/>
                <w:kern w:val="0"/>
                <w:sz w:val="24"/>
                <w:szCs w:val="24"/>
                <w:lang w:val="en-US" w:eastAsia="zh-CN" w:bidi="ar"/>
              </w:rPr>
              <w:t>7447845</w:t>
            </w:r>
            <w:r>
              <w:rPr>
                <w:rFonts w:hint="default" w:ascii="Times New Roman" w:hAnsi="Times New Roman" w:eastAsia="宋体" w:cs="Times New Roman"/>
                <w:color w:val="auto"/>
                <w:kern w:val="0"/>
                <w:sz w:val="24"/>
                <w:szCs w:val="24"/>
                <w:lang w:val="en-US" w:eastAsia="zh-CN" w:bidi="ar"/>
              </w:rPr>
              <w:t>Nm</w:t>
            </w:r>
            <w:r>
              <w:rPr>
                <w:rFonts w:hint="default" w:ascii="Times New Roman" w:hAnsi="Times New Roman" w:eastAsia="宋体" w:cs="Times New Roman"/>
                <w:color w:val="auto"/>
                <w:kern w:val="0"/>
                <w:sz w:val="24"/>
                <w:szCs w:val="24"/>
                <w:vertAlign w:val="superscript"/>
                <w:lang w:val="en-US" w:eastAsia="zh-CN" w:bidi="ar"/>
              </w:rPr>
              <w:t xml:space="preserve">3 </w:t>
            </w:r>
            <w:r>
              <w:rPr>
                <w:rFonts w:hint="default" w:ascii="Times New Roman" w:hAnsi="Times New Roman" w:eastAsia="宋体" w:cs="Times New Roman"/>
                <w:color w:val="auto"/>
                <w:kern w:val="0"/>
                <w:sz w:val="24"/>
                <w:szCs w:val="24"/>
                <w:lang w:val="en-US" w:eastAsia="zh-CN" w:bidi="ar"/>
              </w:rPr>
              <w:t xml:space="preserve">/a；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ηNOx——</w:t>
            </w:r>
            <w:r>
              <w:rPr>
                <w:rFonts w:hint="eastAsia" w:cs="Times New Roman"/>
                <w:color w:val="auto"/>
                <w:kern w:val="0"/>
                <w:sz w:val="24"/>
                <w:szCs w:val="24"/>
                <w:lang w:val="en-US" w:eastAsia="zh-CN" w:bidi="ar"/>
              </w:rPr>
              <w:t>采用低氮燃烧技术，从源头控制NOx产生，控制效率为30%，</w:t>
            </w:r>
            <w:r>
              <w:rPr>
                <w:rFonts w:hint="default" w:ascii="Times New Roman" w:hAnsi="Times New Roman" w:eastAsia="宋体" w:cs="Times New Roman"/>
                <w:color w:val="auto"/>
                <w:kern w:val="0"/>
                <w:sz w:val="24"/>
                <w:szCs w:val="24"/>
                <w:lang w:val="en-US" w:eastAsia="zh-CN" w:bidi="ar"/>
              </w:rPr>
              <w:t>脱硝效率，取</w:t>
            </w:r>
            <w:r>
              <w:rPr>
                <w:rFonts w:hint="eastAsia" w:cs="Times New Roman"/>
                <w:color w:val="auto"/>
                <w:kern w:val="0"/>
                <w:sz w:val="24"/>
                <w:szCs w:val="24"/>
                <w:lang w:val="en-US" w:eastAsia="zh-CN" w:bidi="ar"/>
              </w:rPr>
              <w:t>0</w:t>
            </w:r>
            <w:r>
              <w:rPr>
                <w:rFonts w:hint="default" w:ascii="Times New Roman" w:hAnsi="Times New Roman" w:eastAsia="宋体" w:cs="Times New Roman"/>
                <w:color w:val="auto"/>
                <w:kern w:val="0"/>
                <w:sz w:val="24"/>
                <w:szCs w:val="24"/>
                <w:lang w:val="en-US" w:eastAsia="zh-CN" w:bidi="ar"/>
              </w:rPr>
              <w:t xml:space="preserve">%； </w:t>
            </w:r>
          </w:p>
          <w:bookmarkEnd w:id="30"/>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rFonts w:hint="eastAsia"/>
                <w:color w:val="auto"/>
                <w:sz w:val="24"/>
                <w:highlight w:val="none"/>
                <w:lang w:val="en-US" w:eastAsia="zh-CN"/>
              </w:rPr>
            </w:pPr>
            <w:r>
              <w:rPr>
                <w:rFonts w:hint="eastAsia"/>
                <w:color w:val="auto"/>
                <w:sz w:val="24"/>
                <w:highlight w:val="none"/>
                <w:lang w:val="en-US" w:eastAsia="zh-CN"/>
              </w:rPr>
              <w:t>e）烟气黑度</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参照同类项目，在采取布袋除尘器处理后，烟气黑度小于1。</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表</w:t>
            </w:r>
            <w:r>
              <w:rPr>
                <w:rFonts w:hint="eastAsia" w:ascii="Times New Roman" w:hAnsi="Times New Roman" w:eastAsia="宋体" w:cs="Times New Roman"/>
                <w:b/>
                <w:bCs/>
                <w:color w:val="auto"/>
                <w:kern w:val="0"/>
                <w:sz w:val="21"/>
                <w:szCs w:val="21"/>
                <w:highlight w:val="none"/>
                <w:lang w:val="en-US" w:eastAsia="zh-CN"/>
              </w:rPr>
              <w:t>4</w:t>
            </w:r>
            <w:r>
              <w:rPr>
                <w:rFonts w:hint="default" w:ascii="Times New Roman" w:hAnsi="Times New Roman" w:eastAsia="宋体" w:cs="Times New Roman"/>
                <w:b/>
                <w:bCs/>
                <w:color w:val="auto"/>
                <w:kern w:val="0"/>
                <w:sz w:val="21"/>
                <w:szCs w:val="21"/>
                <w:highlight w:val="none"/>
              </w:rPr>
              <w:t>-</w:t>
            </w:r>
            <w:r>
              <w:rPr>
                <w:rFonts w:hint="eastAsia" w:ascii="Times New Roman" w:hAnsi="Times New Roman" w:eastAsia="宋体"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 xml:space="preserve">  </w:t>
            </w:r>
            <w:r>
              <w:rPr>
                <w:rFonts w:hint="eastAsia" w:ascii="Times New Roman" w:hAnsi="Times New Roman" w:eastAsia="宋体" w:cs="Times New Roman"/>
                <w:b/>
                <w:bCs/>
                <w:color w:val="auto"/>
                <w:kern w:val="0"/>
                <w:sz w:val="21"/>
                <w:szCs w:val="21"/>
                <w:highlight w:val="none"/>
                <w:lang w:val="en-US" w:eastAsia="zh-CN"/>
              </w:rPr>
              <w:t>热风炉</w:t>
            </w:r>
            <w:r>
              <w:rPr>
                <w:rFonts w:hint="default" w:ascii="Times New Roman" w:hAnsi="Times New Roman" w:eastAsia="宋体" w:cs="Times New Roman"/>
                <w:b/>
                <w:bCs/>
                <w:color w:val="auto"/>
                <w:kern w:val="0"/>
                <w:sz w:val="21"/>
                <w:szCs w:val="21"/>
                <w:highlight w:val="none"/>
              </w:rPr>
              <w:t>燃烧废气排放情况  （单位：mg/m</w:t>
            </w:r>
            <w:r>
              <w:rPr>
                <w:rFonts w:hint="default" w:ascii="Times New Roman" w:hAnsi="Times New Roman" w:eastAsia="宋体" w:cs="Times New Roman"/>
                <w:b/>
                <w:bCs/>
                <w:color w:val="auto"/>
                <w:kern w:val="0"/>
                <w:sz w:val="21"/>
                <w:szCs w:val="21"/>
                <w:highlight w:val="none"/>
                <w:vertAlign w:val="superscript"/>
              </w:rPr>
              <w:t>3</w:t>
            </w:r>
            <w:r>
              <w:rPr>
                <w:rFonts w:hint="default" w:ascii="Times New Roman" w:hAnsi="Times New Roman" w:eastAsia="宋体" w:cs="Times New Roman"/>
                <w:b/>
                <w:bCs/>
                <w:color w:val="auto"/>
                <w:kern w:val="0"/>
                <w:sz w:val="21"/>
                <w:szCs w:val="21"/>
                <w:highlight w:val="none"/>
              </w:rPr>
              <w:t>）</w:t>
            </w:r>
          </w:p>
          <w:tbl>
            <w:tblPr>
              <w:tblStyle w:val="30"/>
              <w:tblW w:w="8662"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718"/>
              <w:gridCol w:w="2239"/>
              <w:gridCol w:w="75"/>
              <w:gridCol w:w="2164"/>
              <w:gridCol w:w="151"/>
              <w:gridCol w:w="2315"/>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18" w:type="dxa"/>
                  <w:noWrap w:val="0"/>
                  <w:vAlign w:val="center"/>
                </w:tcPr>
                <w:p>
                  <w:pPr>
                    <w:pStyle w:val="94"/>
                    <w:shd w:val="clear" w:color="auto" w:fill="auto"/>
                    <w:rPr>
                      <w:rFonts w:ascii="Times New Roman" w:hAnsi="Times New Roman"/>
                      <w:b/>
                      <w:bCs/>
                      <w:color w:val="auto"/>
                      <w:highlight w:val="none"/>
                    </w:rPr>
                  </w:pPr>
                  <w:r>
                    <w:rPr>
                      <w:rFonts w:ascii="Times New Roman" w:hAnsi="Times New Roman"/>
                      <w:b/>
                      <w:bCs/>
                      <w:color w:val="auto"/>
                      <w:highlight w:val="none"/>
                    </w:rPr>
                    <w:t>污染物</w:t>
                  </w:r>
                </w:p>
              </w:tc>
              <w:tc>
                <w:tcPr>
                  <w:tcW w:w="2314" w:type="dxa"/>
                  <w:gridSpan w:val="2"/>
                  <w:noWrap w:val="0"/>
                  <w:vAlign w:val="center"/>
                </w:tcPr>
                <w:p>
                  <w:pPr>
                    <w:pStyle w:val="94"/>
                    <w:shd w:val="clear" w:color="auto" w:fill="auto"/>
                    <w:rPr>
                      <w:rFonts w:ascii="Times New Roman" w:hAnsi="Times New Roman"/>
                      <w:b/>
                      <w:bCs/>
                      <w:color w:val="auto"/>
                      <w:highlight w:val="none"/>
                    </w:rPr>
                  </w:pPr>
                  <w:r>
                    <w:rPr>
                      <w:rFonts w:ascii="Times New Roman" w:hAnsi="Times New Roman"/>
                      <w:b/>
                      <w:bCs/>
                      <w:color w:val="auto"/>
                      <w:highlight w:val="none"/>
                    </w:rPr>
                    <w:t>排放</w:t>
                  </w:r>
                  <w:r>
                    <w:rPr>
                      <w:rFonts w:hint="eastAsia" w:ascii="Times New Roman" w:hAnsi="Times New Roman"/>
                      <w:b/>
                      <w:bCs/>
                      <w:color w:val="auto"/>
                      <w:highlight w:val="none"/>
                      <w:lang w:val="en-US" w:eastAsia="zh-CN"/>
                    </w:rPr>
                    <w:t>速率</w:t>
                  </w:r>
                  <w:r>
                    <w:rPr>
                      <w:rFonts w:hint="eastAsia" w:ascii="Times New Roman" w:hAnsi="Times New Roman"/>
                      <w:b/>
                      <w:bCs/>
                      <w:color w:val="auto"/>
                      <w:highlight w:val="none"/>
                    </w:rPr>
                    <w:t>（</w:t>
                  </w:r>
                  <w:r>
                    <w:rPr>
                      <w:rFonts w:ascii="Times New Roman" w:hAnsi="Times New Roman"/>
                      <w:b/>
                      <w:bCs/>
                      <w:color w:val="auto"/>
                      <w:highlight w:val="none"/>
                    </w:rPr>
                    <w:t>kg/h</w:t>
                  </w:r>
                  <w:r>
                    <w:rPr>
                      <w:rFonts w:hint="eastAsia" w:ascii="Times New Roman" w:hAnsi="Times New Roman"/>
                      <w:b/>
                      <w:bCs/>
                      <w:color w:val="auto"/>
                      <w:highlight w:val="none"/>
                    </w:rPr>
                    <w:t>）</w:t>
                  </w:r>
                </w:p>
              </w:tc>
              <w:tc>
                <w:tcPr>
                  <w:tcW w:w="2315" w:type="dxa"/>
                  <w:gridSpan w:val="2"/>
                  <w:noWrap w:val="0"/>
                  <w:vAlign w:val="center"/>
                </w:tcPr>
                <w:p>
                  <w:pPr>
                    <w:pStyle w:val="94"/>
                    <w:shd w:val="clear" w:color="auto" w:fill="auto"/>
                    <w:rPr>
                      <w:rFonts w:ascii="Times New Roman" w:hAnsi="Times New Roman"/>
                      <w:b/>
                      <w:bCs/>
                      <w:color w:val="auto"/>
                      <w:highlight w:val="none"/>
                    </w:rPr>
                  </w:pPr>
                  <w:r>
                    <w:rPr>
                      <w:rFonts w:ascii="Times New Roman" w:hAnsi="Times New Roman"/>
                      <w:b/>
                      <w:bCs/>
                      <w:color w:val="auto"/>
                      <w:highlight w:val="none"/>
                    </w:rPr>
                    <w:t>排放量</w:t>
                  </w:r>
                  <w:r>
                    <w:rPr>
                      <w:rFonts w:hint="eastAsia" w:ascii="Times New Roman" w:hAnsi="Times New Roman"/>
                      <w:b/>
                      <w:bCs/>
                      <w:color w:val="auto"/>
                      <w:highlight w:val="none"/>
                    </w:rPr>
                    <w:t>（</w:t>
                  </w:r>
                  <w:r>
                    <w:rPr>
                      <w:rFonts w:ascii="Times New Roman" w:hAnsi="Times New Roman"/>
                      <w:b/>
                      <w:bCs/>
                      <w:color w:val="auto"/>
                      <w:highlight w:val="none"/>
                    </w:rPr>
                    <w:t>t/a</w:t>
                  </w:r>
                  <w:r>
                    <w:rPr>
                      <w:rFonts w:hint="eastAsia" w:ascii="Times New Roman" w:hAnsi="Times New Roman"/>
                      <w:b/>
                      <w:bCs/>
                      <w:color w:val="auto"/>
                      <w:highlight w:val="none"/>
                    </w:rPr>
                    <w:t>）</w:t>
                  </w:r>
                </w:p>
              </w:tc>
              <w:tc>
                <w:tcPr>
                  <w:tcW w:w="2315" w:type="dxa"/>
                  <w:noWrap w:val="0"/>
                  <w:vAlign w:val="center"/>
                </w:tcPr>
                <w:p>
                  <w:pPr>
                    <w:pStyle w:val="94"/>
                    <w:shd w:val="clear" w:color="auto" w:fill="auto"/>
                    <w:rPr>
                      <w:rFonts w:ascii="Times New Roman" w:hAnsi="Times New Roman"/>
                      <w:b/>
                      <w:bCs/>
                      <w:color w:val="auto"/>
                      <w:highlight w:val="none"/>
                    </w:rPr>
                  </w:pPr>
                  <w:r>
                    <w:rPr>
                      <w:rFonts w:ascii="Times New Roman" w:hAnsi="Times New Roman"/>
                      <w:b/>
                      <w:bCs/>
                      <w:color w:val="auto"/>
                      <w:highlight w:val="none"/>
                    </w:rPr>
                    <w:t>排放浓度</w:t>
                  </w:r>
                  <w:r>
                    <w:rPr>
                      <w:rFonts w:hint="eastAsia" w:ascii="Times New Roman" w:hAnsi="Times New Roman"/>
                      <w:b/>
                      <w:bCs/>
                      <w:color w:val="auto"/>
                      <w:highlight w:val="none"/>
                    </w:rPr>
                    <w:t>（</w:t>
                  </w:r>
                  <w:r>
                    <w:rPr>
                      <w:rFonts w:ascii="Times New Roman" w:hAnsi="Times New Roman"/>
                      <w:b/>
                      <w:bCs/>
                      <w:color w:val="auto"/>
                      <w:highlight w:val="none"/>
                    </w:rPr>
                    <w:t>mg/m</w:t>
                  </w:r>
                  <w:r>
                    <w:rPr>
                      <w:rFonts w:ascii="Times New Roman" w:hAnsi="Times New Roman"/>
                      <w:b/>
                      <w:bCs/>
                      <w:color w:val="auto"/>
                      <w:highlight w:val="none"/>
                      <w:vertAlign w:val="superscript"/>
                    </w:rPr>
                    <w:t>3</w:t>
                  </w:r>
                  <w:r>
                    <w:rPr>
                      <w:rFonts w:hint="eastAsia" w:ascii="Times New Roman" w:hAnsi="Times New Roman"/>
                      <w:b/>
                      <w:bCs/>
                      <w:color w:val="auto"/>
                      <w:highlight w:val="none"/>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82" w:hRule="atLeast"/>
              </w:trPr>
              <w:tc>
                <w:tcPr>
                  <w:tcW w:w="1718" w:type="dxa"/>
                  <w:noWrap w:val="0"/>
                  <w:vAlign w:val="center"/>
                </w:tcPr>
                <w:p>
                  <w:pPr>
                    <w:pStyle w:val="94"/>
                    <w:shd w:val="clear" w:color="auto" w:fill="auto"/>
                    <w:rPr>
                      <w:rFonts w:ascii="Times New Roman" w:hAnsi="Times New Roman"/>
                      <w:color w:val="auto"/>
                      <w:highlight w:val="none"/>
                    </w:rPr>
                  </w:pPr>
                  <w:r>
                    <w:rPr>
                      <w:rFonts w:ascii="Times New Roman" w:hAnsi="Times New Roman"/>
                      <w:color w:val="auto"/>
                      <w:highlight w:val="none"/>
                    </w:rPr>
                    <w:t>烟气量</w:t>
                  </w:r>
                </w:p>
              </w:tc>
              <w:tc>
                <w:tcPr>
                  <w:tcW w:w="6944" w:type="dxa"/>
                  <w:gridSpan w:val="5"/>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744784</w:t>
                  </w:r>
                  <w:r>
                    <w:rPr>
                      <w:rFonts w:hint="eastAsia" w:ascii="Times New Roman" w:hAnsi="Times New Roman" w:eastAsia="宋体" w:cs="Times New Roman"/>
                      <w:i w:val="0"/>
                      <w:iCs w:val="0"/>
                      <w:color w:val="auto"/>
                      <w:kern w:val="0"/>
                      <w:sz w:val="21"/>
                      <w:szCs w:val="21"/>
                      <w:u w:val="none"/>
                      <w:lang w:val="en-US" w:eastAsia="zh-CN" w:bidi="ar"/>
                    </w:rPr>
                    <w:t>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18" w:type="dxa"/>
                  <w:noWrap w:val="0"/>
                  <w:vAlign w:val="center"/>
                </w:tcPr>
                <w:p>
                  <w:pPr>
                    <w:pStyle w:val="94"/>
                    <w:shd w:val="clear" w:color="auto" w:fill="auto"/>
                    <w:rPr>
                      <w:rFonts w:ascii="Times New Roman" w:hAnsi="Times New Roman"/>
                      <w:color w:val="auto"/>
                      <w:highlight w:val="none"/>
                    </w:rPr>
                  </w:pPr>
                  <w:r>
                    <w:rPr>
                      <w:rFonts w:ascii="Times New Roman" w:hAnsi="Times New Roman"/>
                      <w:color w:val="auto"/>
                      <w:highlight w:val="none"/>
                    </w:rPr>
                    <w:t>颗粒物</w:t>
                  </w:r>
                </w:p>
              </w:tc>
              <w:tc>
                <w:tcPr>
                  <w:tcW w:w="2239" w:type="dxa"/>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1.418 </w:t>
                  </w:r>
                </w:p>
              </w:tc>
              <w:tc>
                <w:tcPr>
                  <w:tcW w:w="2239"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1.021 </w:t>
                  </w:r>
                </w:p>
              </w:tc>
              <w:tc>
                <w:tcPr>
                  <w:tcW w:w="2466"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137.036 </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18" w:type="dxa"/>
                  <w:noWrap w:val="0"/>
                  <w:vAlign w:val="center"/>
                </w:tcPr>
                <w:p>
                  <w:pPr>
                    <w:pStyle w:val="94"/>
                    <w:shd w:val="clear" w:color="auto" w:fill="auto"/>
                    <w:rPr>
                      <w:rFonts w:ascii="Times New Roman" w:hAnsi="Times New Roman"/>
                      <w:color w:val="auto"/>
                      <w:highlight w:val="none"/>
                    </w:rPr>
                  </w:pPr>
                  <w:r>
                    <w:rPr>
                      <w:rFonts w:ascii="Times New Roman" w:hAnsi="Times New Roman"/>
                      <w:color w:val="auto"/>
                      <w:highlight w:val="none"/>
                    </w:rPr>
                    <w:t>SO</w:t>
                  </w:r>
                  <w:r>
                    <w:rPr>
                      <w:rFonts w:ascii="Times New Roman" w:hAnsi="Times New Roman"/>
                      <w:color w:val="auto"/>
                      <w:highlight w:val="none"/>
                      <w:vertAlign w:val="subscript"/>
                    </w:rPr>
                    <w:t>2</w:t>
                  </w:r>
                </w:p>
              </w:tc>
              <w:tc>
                <w:tcPr>
                  <w:tcW w:w="2239" w:type="dxa"/>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0.875 </w:t>
                  </w:r>
                </w:p>
              </w:tc>
              <w:tc>
                <w:tcPr>
                  <w:tcW w:w="2239"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0.630 </w:t>
                  </w:r>
                </w:p>
              </w:tc>
              <w:tc>
                <w:tcPr>
                  <w:tcW w:w="2466"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84.588 </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18" w:type="dxa"/>
                  <w:noWrap w:val="0"/>
                  <w:vAlign w:val="center"/>
                </w:tcPr>
                <w:p>
                  <w:pPr>
                    <w:pStyle w:val="94"/>
                    <w:shd w:val="clear" w:color="auto" w:fill="auto"/>
                    <w:rPr>
                      <w:rFonts w:ascii="Times New Roman" w:hAnsi="Times New Roman"/>
                      <w:color w:val="auto"/>
                      <w:highlight w:val="none"/>
                    </w:rPr>
                  </w:pPr>
                  <w:r>
                    <w:rPr>
                      <w:rFonts w:ascii="Times New Roman" w:hAnsi="Times New Roman"/>
                      <w:color w:val="auto"/>
                      <w:highlight w:val="none"/>
                    </w:rPr>
                    <w:t>NOx</w:t>
                  </w:r>
                </w:p>
              </w:tc>
              <w:tc>
                <w:tcPr>
                  <w:tcW w:w="2239" w:type="dxa"/>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1.303 </w:t>
                  </w:r>
                </w:p>
              </w:tc>
              <w:tc>
                <w:tcPr>
                  <w:tcW w:w="2239"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0.938 </w:t>
                  </w:r>
                </w:p>
              </w:tc>
              <w:tc>
                <w:tcPr>
                  <w:tcW w:w="2466"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126.000 </w:t>
                  </w:r>
                </w:p>
              </w:tc>
            </w:tr>
          </w:tbl>
          <w:p>
            <w:pPr>
              <w:pStyle w:val="87"/>
              <w:keepNext w:val="0"/>
              <w:keepLines w:val="0"/>
              <w:pageBreakBefore w:val="0"/>
              <w:kinsoku/>
              <w:wordWrap/>
              <w:overflowPunct/>
              <w:topLinePunct w:val="0"/>
              <w:autoSpaceDE/>
              <w:autoSpaceDN/>
              <w:bidi w:val="0"/>
              <w:adjustRightInd/>
              <w:spacing w:beforeAutospacing="0" w:afterAutospacing="0" w:line="360" w:lineRule="auto"/>
              <w:ind w:left="0" w:leftChars="0" w:right="0" w:rightChars="0" w:firstLine="480" w:firstLineChars="200"/>
              <w:jc w:val="both"/>
              <w:rPr>
                <w:rFonts w:hint="default" w:eastAsia="宋体"/>
                <w:color w:val="auto"/>
                <w:sz w:val="24"/>
                <w:szCs w:val="24"/>
                <w:lang w:val="en-US" w:eastAsia="zh-CN"/>
              </w:rPr>
            </w:pPr>
            <w:r>
              <w:rPr>
                <w:rFonts w:eastAsia="宋体"/>
                <w:color w:val="auto"/>
                <w:sz w:val="24"/>
                <w:szCs w:val="24"/>
                <w:highlight w:val="none"/>
              </w:rPr>
              <w:t>热风炉烟气处理</w:t>
            </w:r>
            <w:r>
              <w:rPr>
                <w:rFonts w:eastAsia="宋体"/>
                <w:color w:val="auto"/>
                <w:sz w:val="24"/>
                <w:szCs w:val="24"/>
              </w:rPr>
              <w:t>设施为布袋除尘</w:t>
            </w:r>
            <w:r>
              <w:rPr>
                <w:rFonts w:eastAsia="宋体"/>
                <w:color w:val="auto"/>
                <w:sz w:val="24"/>
                <w:szCs w:val="24"/>
                <w:highlight w:val="none"/>
              </w:rPr>
              <w:t>器</w:t>
            </w:r>
            <w:r>
              <w:rPr>
                <w:rFonts w:hint="eastAsia"/>
                <w:color w:val="auto"/>
                <w:sz w:val="24"/>
                <w:szCs w:val="24"/>
                <w:highlight w:val="none"/>
                <w:lang w:val="en-US" w:eastAsia="zh-CN"/>
              </w:rPr>
              <w:t>+15m高排气筒</w:t>
            </w:r>
            <w:r>
              <w:rPr>
                <w:rFonts w:eastAsia="宋体"/>
                <w:color w:val="auto"/>
                <w:sz w:val="24"/>
                <w:szCs w:val="24"/>
                <w:highlight w:val="none"/>
              </w:rPr>
              <w:t>。热风炉烟气处理后经15m高</w:t>
            </w:r>
            <w:r>
              <w:rPr>
                <w:rFonts w:hint="eastAsia"/>
                <w:color w:val="auto"/>
                <w:sz w:val="24"/>
                <w:szCs w:val="24"/>
                <w:highlight w:val="none"/>
                <w:lang w:val="en-US" w:eastAsia="zh-CN"/>
              </w:rPr>
              <w:t>排气筒</w:t>
            </w:r>
            <w:r>
              <w:rPr>
                <w:rFonts w:eastAsia="宋体"/>
                <w:color w:val="auto"/>
                <w:sz w:val="24"/>
                <w:szCs w:val="24"/>
                <w:highlight w:val="none"/>
              </w:rPr>
              <w:t>排放，排放量</w:t>
            </w:r>
            <w:r>
              <w:rPr>
                <w:rFonts w:hint="eastAsia"/>
                <w:color w:val="auto"/>
                <w:sz w:val="24"/>
                <w:szCs w:val="24"/>
                <w:highlight w:val="none"/>
                <w:lang w:eastAsia="zh-CN"/>
              </w:rPr>
              <w:t>烟尘</w:t>
            </w:r>
            <w:r>
              <w:rPr>
                <w:rFonts w:eastAsia="宋体"/>
                <w:color w:val="auto"/>
                <w:sz w:val="24"/>
                <w:szCs w:val="24"/>
                <w:highlight w:val="none"/>
              </w:rPr>
              <w:t>为</w:t>
            </w:r>
            <w:r>
              <w:rPr>
                <w:rFonts w:hint="eastAsia"/>
                <w:color w:val="auto"/>
                <w:sz w:val="24"/>
                <w:szCs w:val="24"/>
                <w:highlight w:val="none"/>
                <w:vertAlign w:val="baseline"/>
                <w:lang w:val="en-US" w:eastAsia="zh-CN"/>
              </w:rPr>
              <w:t>1.021</w:t>
            </w:r>
            <w:r>
              <w:rPr>
                <w:rFonts w:eastAsia="宋体"/>
                <w:color w:val="auto"/>
                <w:sz w:val="24"/>
                <w:szCs w:val="24"/>
                <w:highlight w:val="none"/>
              </w:rPr>
              <w:t>t/a、SO</w:t>
            </w:r>
            <w:r>
              <w:rPr>
                <w:rFonts w:eastAsia="宋体"/>
                <w:color w:val="auto"/>
                <w:sz w:val="24"/>
                <w:szCs w:val="24"/>
                <w:highlight w:val="none"/>
                <w:vertAlign w:val="subscript"/>
              </w:rPr>
              <w:t>2</w:t>
            </w:r>
            <w:r>
              <w:rPr>
                <w:rFonts w:eastAsia="宋体"/>
                <w:color w:val="auto"/>
                <w:sz w:val="24"/>
                <w:szCs w:val="24"/>
                <w:highlight w:val="none"/>
              </w:rPr>
              <w:t>为</w:t>
            </w:r>
            <w:r>
              <w:rPr>
                <w:rFonts w:hint="eastAsia"/>
                <w:color w:val="auto"/>
                <w:sz w:val="24"/>
                <w:szCs w:val="24"/>
                <w:highlight w:val="none"/>
                <w:lang w:val="en-US" w:eastAsia="zh-CN"/>
              </w:rPr>
              <w:t>0.630</w:t>
            </w:r>
            <w:r>
              <w:rPr>
                <w:rFonts w:eastAsia="宋体"/>
                <w:color w:val="auto"/>
                <w:sz w:val="24"/>
                <w:szCs w:val="24"/>
                <w:highlight w:val="none"/>
              </w:rPr>
              <w:t>t/a、NOx为</w:t>
            </w:r>
            <w:r>
              <w:rPr>
                <w:rFonts w:hint="eastAsia"/>
                <w:color w:val="auto"/>
                <w:sz w:val="24"/>
                <w:szCs w:val="24"/>
                <w:highlight w:val="none"/>
                <w:vertAlign w:val="baseline"/>
                <w:lang w:val="en-US" w:eastAsia="zh-CN"/>
              </w:rPr>
              <w:t>0.938</w:t>
            </w:r>
            <w:r>
              <w:rPr>
                <w:rFonts w:eastAsia="宋体"/>
                <w:color w:val="auto"/>
                <w:sz w:val="24"/>
                <w:szCs w:val="24"/>
                <w:highlight w:val="none"/>
              </w:rPr>
              <w:t>t/a；污染</w:t>
            </w:r>
            <w:r>
              <w:rPr>
                <w:rFonts w:hint="default" w:ascii="Times New Roman" w:hAnsi="Times New Roman" w:eastAsia="宋体" w:cs="Times New Roman"/>
                <w:color w:val="auto"/>
                <w:sz w:val="24"/>
                <w:szCs w:val="24"/>
                <w:highlight w:val="none"/>
              </w:rPr>
              <w:t>物排放浓度烟尘为</w:t>
            </w:r>
            <w:r>
              <w:rPr>
                <w:rFonts w:hint="eastAsia" w:cs="Times New Roman"/>
                <w:color w:val="auto"/>
                <w:sz w:val="24"/>
                <w:szCs w:val="24"/>
                <w:highlight w:val="none"/>
                <w:lang w:val="en-US" w:eastAsia="zh-CN"/>
              </w:rPr>
              <w:t>137.036</w:t>
            </w:r>
            <w:r>
              <w:rPr>
                <w:rFonts w:hint="default" w:ascii="Times New Roman" w:hAnsi="Times New Roman" w:eastAsia="宋体" w:cs="Times New Roman"/>
                <w:color w:val="auto"/>
                <w:sz w:val="24"/>
                <w:szCs w:val="24"/>
                <w:highlight w:val="none"/>
              </w:rPr>
              <w:t>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、SO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为</w:t>
            </w:r>
            <w:r>
              <w:rPr>
                <w:rFonts w:hint="eastAsia" w:ascii="Times New Roman" w:hAnsi="Times New Roman" w:eastAsia="宋体" w:cs="Times New Roman"/>
                <w:color w:val="auto"/>
                <w:sz w:val="24"/>
                <w:szCs w:val="24"/>
                <w:highlight w:val="none"/>
                <w:lang w:val="en-US" w:eastAsia="zh-CN"/>
              </w:rPr>
              <w:t>84.588</w:t>
            </w:r>
            <w:r>
              <w:rPr>
                <w:rFonts w:hint="default" w:ascii="Times New Roman" w:hAnsi="Times New Roman" w:eastAsia="宋体" w:cs="Times New Roman"/>
                <w:color w:val="auto"/>
                <w:sz w:val="24"/>
                <w:szCs w:val="24"/>
                <w:highlight w:val="none"/>
              </w:rPr>
              <w:t>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、NOx为</w:t>
            </w:r>
            <w:r>
              <w:rPr>
                <w:rFonts w:hint="eastAsia" w:cs="Times New Roman"/>
                <w:color w:val="auto"/>
                <w:sz w:val="24"/>
                <w:szCs w:val="24"/>
                <w:highlight w:val="none"/>
                <w:lang w:val="en-US" w:eastAsia="zh-CN"/>
              </w:rPr>
              <w:t>126</w:t>
            </w:r>
            <w:r>
              <w:rPr>
                <w:rFonts w:hint="default" w:ascii="Times New Roman" w:hAnsi="Times New Roman" w:eastAsia="宋体" w:cs="Times New Roman"/>
                <w:color w:val="auto"/>
                <w:sz w:val="24"/>
                <w:szCs w:val="24"/>
                <w:highlight w:val="none"/>
              </w:rPr>
              <w:t>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；热风炉</w:t>
            </w:r>
            <w:r>
              <w:rPr>
                <w:rFonts w:hint="eastAsia"/>
                <w:color w:val="auto"/>
                <w:sz w:val="24"/>
                <w:szCs w:val="24"/>
                <w:highlight w:val="none"/>
                <w:lang w:eastAsia="zh-CN"/>
              </w:rPr>
              <w:t>烟尘</w:t>
            </w:r>
            <w:r>
              <w:rPr>
                <w:rFonts w:hint="default" w:ascii="Times New Roman" w:hAnsi="Times New Roman" w:cs="Times New Roman"/>
                <w:color w:val="auto"/>
                <w:sz w:val="24"/>
                <w:szCs w:val="24"/>
                <w:highlight w:val="none"/>
                <w:lang w:eastAsia="zh-CN"/>
              </w:rPr>
              <w:t>、SO</w:t>
            </w:r>
            <w:r>
              <w:rPr>
                <w:rFonts w:hint="default" w:ascii="Times New Roman" w:hAnsi="Times New Roman" w:cs="Times New Roman"/>
                <w:color w:val="auto"/>
                <w:sz w:val="24"/>
                <w:szCs w:val="24"/>
                <w:highlight w:val="none"/>
                <w:vertAlign w:val="subscript"/>
                <w:lang w:eastAsia="zh-CN"/>
              </w:rPr>
              <w:t>2</w:t>
            </w:r>
            <w:r>
              <w:rPr>
                <w:rFonts w:hint="default" w:ascii="Times New Roman" w:hAnsi="Times New Roman" w:eastAsia="宋体" w:cs="Times New Roman"/>
                <w:color w:val="auto"/>
                <w:sz w:val="24"/>
                <w:szCs w:val="24"/>
                <w:highlight w:val="none"/>
              </w:rPr>
              <w:t>排</w:t>
            </w:r>
            <w:r>
              <w:rPr>
                <w:rFonts w:hint="default" w:ascii="Times New Roman" w:hAnsi="Times New Roman" w:eastAsia="宋体" w:cs="Times New Roman"/>
                <w:color w:val="auto"/>
                <w:sz w:val="24"/>
                <w:szCs w:val="24"/>
              </w:rPr>
              <w:t>放</w:t>
            </w:r>
            <w:r>
              <w:rPr>
                <w:rFonts w:hint="eastAsia" w:cs="Times New Roman"/>
                <w:color w:val="auto"/>
                <w:sz w:val="24"/>
                <w:szCs w:val="24"/>
                <w:lang w:eastAsia="zh-CN"/>
              </w:rPr>
              <w:t>浓度</w:t>
            </w:r>
            <w:r>
              <w:rPr>
                <w:rFonts w:hint="default" w:ascii="Times New Roman" w:hAnsi="Times New Roman" w:eastAsia="宋体" w:cs="Times New Roman"/>
                <w:color w:val="auto"/>
                <w:sz w:val="24"/>
                <w:szCs w:val="24"/>
              </w:rPr>
              <w:t>均满足《工业炉窑大气污染物排放标准》（GB9078-1996）</w:t>
            </w:r>
            <w:r>
              <w:rPr>
                <w:color w:val="auto"/>
                <w:sz w:val="24"/>
                <w:highlight w:val="none"/>
              </w:rPr>
              <w:t>中表</w:t>
            </w:r>
            <w:r>
              <w:rPr>
                <w:rFonts w:ascii="Times New Roman" w:hAnsi="Times New Roman" w:eastAsia="宋体" w:cs="Times New Roman"/>
                <w:bCs/>
                <w:color w:val="auto"/>
                <w:spacing w:val="-10"/>
                <w:sz w:val="24"/>
                <w:highlight w:val="none"/>
              </w:rPr>
              <w:t>2和表4二级标准</w:t>
            </w:r>
            <w:r>
              <w:rPr>
                <w:rFonts w:hint="default" w:ascii="Times New Roman" w:hAnsi="Times New Roman" w:cs="Times New Roman"/>
                <w:color w:val="auto"/>
                <w:sz w:val="24"/>
                <w:szCs w:val="24"/>
                <w:lang w:val="en-US" w:eastAsia="zh-CN"/>
              </w:rPr>
              <w:t>。</w:t>
            </w:r>
          </w:p>
          <w:p>
            <w:pPr>
              <w:pStyle w:val="80"/>
              <w:adjustRightInd/>
              <w:snapToGrid/>
              <w:spacing w:line="240" w:lineRule="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表4-</w:t>
            </w:r>
            <w:r>
              <w:rPr>
                <w:rFonts w:hint="eastAsia" w:ascii="Times New Roman" w:hAnsi="Times New Roman" w:cs="Times New Roman"/>
                <w:b/>
                <w:bCs/>
                <w:color w:val="auto"/>
                <w:sz w:val="21"/>
                <w:szCs w:val="21"/>
                <w:lang w:val="en-US" w:eastAsia="zh-CN"/>
              </w:rPr>
              <w:t>2</w:t>
            </w:r>
            <w:r>
              <w:rPr>
                <w:rFonts w:hint="default" w:ascii="Times New Roman" w:hAnsi="Times New Roman" w:cs="Times New Roman"/>
                <w:b/>
                <w:bCs/>
                <w:color w:val="auto"/>
                <w:sz w:val="21"/>
                <w:szCs w:val="21"/>
                <w:lang w:val="en-US" w:eastAsia="zh-CN"/>
              </w:rPr>
              <w:t xml:space="preserve"> 大气污染源情况一览表</w:t>
            </w:r>
          </w:p>
          <w:tbl>
            <w:tblPr>
              <w:tblStyle w:val="31"/>
              <w:tblW w:w="8664"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8"/>
              <w:gridCol w:w="428"/>
              <w:gridCol w:w="429"/>
              <w:gridCol w:w="761"/>
              <w:gridCol w:w="966"/>
              <w:gridCol w:w="617"/>
              <w:gridCol w:w="1222"/>
              <w:gridCol w:w="538"/>
              <w:gridCol w:w="429"/>
              <w:gridCol w:w="711"/>
              <w:gridCol w:w="882"/>
              <w:gridCol w:w="674"/>
              <w:gridCol w:w="57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排放源</w:t>
                  </w:r>
                </w:p>
              </w:tc>
              <w:tc>
                <w:tcPr>
                  <w:tcW w:w="42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rPr>
                    <w:t>污染</w:t>
                  </w:r>
                  <w:r>
                    <w:rPr>
                      <w:rFonts w:hint="default" w:ascii="Times New Roman" w:hAnsi="Times New Roman" w:eastAsia="宋体" w:cs="Times New Roman"/>
                      <w:b w:val="0"/>
                      <w:bCs w:val="0"/>
                      <w:i w:val="0"/>
                      <w:iCs w:val="0"/>
                      <w:color w:val="auto"/>
                      <w:spacing w:val="0"/>
                      <w:kern w:val="0"/>
                      <w:sz w:val="21"/>
                      <w:szCs w:val="21"/>
                      <w:lang w:eastAsia="zh-CN"/>
                    </w:rPr>
                    <w:t>物</w:t>
                  </w:r>
                </w:p>
              </w:tc>
              <w:tc>
                <w:tcPr>
                  <w:tcW w:w="2773" w:type="dxa"/>
                  <w:gridSpan w:val="4"/>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420" w:firstLineChars="20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污染物产生</w:t>
                  </w:r>
                </w:p>
              </w:tc>
              <w:tc>
                <w:tcPr>
                  <w:tcW w:w="1760"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治理措施</w:t>
                  </w:r>
                </w:p>
              </w:tc>
              <w:tc>
                <w:tcPr>
                  <w:tcW w:w="2696" w:type="dxa"/>
                  <w:gridSpan w:val="4"/>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val="en-US" w:eastAsia="zh-CN"/>
                    </w:rPr>
                    <w:t>污染物排放</w:t>
                  </w:r>
                </w:p>
              </w:tc>
              <w:tc>
                <w:tcPr>
                  <w:tcW w:w="579" w:type="dxa"/>
                  <w:vMerge w:val="restar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rPr>
                  </w:pPr>
                  <w:r>
                    <w:rPr>
                      <w:rFonts w:hint="default" w:ascii="Times New Roman" w:hAnsi="Times New Roman" w:eastAsia="宋体" w:cs="Times New Roman"/>
                      <w:b w:val="0"/>
                      <w:bCs w:val="0"/>
                      <w:color w:val="auto"/>
                      <w:spacing w:val="0"/>
                      <w:kern w:val="0"/>
                      <w:sz w:val="21"/>
                      <w:szCs w:val="21"/>
                      <w:lang w:val="en-US" w:eastAsia="zh-CN" w:bidi="ar-SA"/>
                    </w:rPr>
                    <w:t>排放时间</w:t>
                  </w:r>
                  <w:r>
                    <w:rPr>
                      <w:rFonts w:hint="eastAsia" w:cs="Times New Roman"/>
                      <w:b w:val="0"/>
                      <w:bCs w:val="0"/>
                      <w:color w:val="auto"/>
                      <w:spacing w:val="0"/>
                      <w:kern w:val="0"/>
                      <w:sz w:val="21"/>
                      <w:szCs w:val="21"/>
                      <w:lang w:val="en-US" w:eastAsia="zh-CN" w:bidi="ar-SA"/>
                    </w:rPr>
                    <w:t>（</w:t>
                  </w:r>
                  <w:r>
                    <w:rPr>
                      <w:rFonts w:hint="default" w:ascii="Times New Roman" w:hAnsi="Times New Roman" w:eastAsia="宋体" w:cs="Times New Roman"/>
                      <w:b w:val="0"/>
                      <w:bCs w:val="0"/>
                      <w:color w:val="auto"/>
                      <w:spacing w:val="0"/>
                      <w:kern w:val="0"/>
                      <w:sz w:val="21"/>
                      <w:szCs w:val="21"/>
                      <w:lang w:val="en-US" w:eastAsia="zh-CN" w:bidi="ar-SA"/>
                    </w:rPr>
                    <w:t>h</w:t>
                  </w:r>
                  <w:r>
                    <w:rPr>
                      <w:rFonts w:hint="eastAsia" w:cs="Times New Roman"/>
                      <w:b w:val="0"/>
                      <w:bCs w:val="0"/>
                      <w:color w:val="auto"/>
                      <w:spacing w:val="0"/>
                      <w:kern w:val="0"/>
                      <w:sz w:val="21"/>
                      <w:szCs w:val="21"/>
                      <w:lang w:val="en-US" w:eastAsia="zh-CN" w:bidi="ar-SA"/>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p>
              </w:tc>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核算方法</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产生速率</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kg</w:t>
                  </w:r>
                  <w:r>
                    <w:rPr>
                      <w:rFonts w:hint="default" w:ascii="Times New Roman" w:hAnsi="Times New Roman" w:eastAsia="宋体" w:cs="Times New Roman"/>
                      <w:b w:val="0"/>
                      <w:bCs w:val="0"/>
                      <w:i w:val="0"/>
                      <w:iCs w:val="0"/>
                      <w:color w:val="auto"/>
                      <w:spacing w:val="0"/>
                      <w:kern w:val="0"/>
                      <w:sz w:val="21"/>
                      <w:szCs w:val="21"/>
                    </w:rPr>
                    <w:t>/</w:t>
                  </w:r>
                  <w:r>
                    <w:rPr>
                      <w:rFonts w:hint="default" w:ascii="Times New Roman" w:hAnsi="Times New Roman" w:eastAsia="宋体" w:cs="Times New Roman"/>
                      <w:b w:val="0"/>
                      <w:bCs w:val="0"/>
                      <w:i w:val="0"/>
                      <w:iCs w:val="0"/>
                      <w:color w:val="auto"/>
                      <w:spacing w:val="0"/>
                      <w:kern w:val="0"/>
                      <w:sz w:val="21"/>
                      <w:szCs w:val="21"/>
                      <w:lang w:val="en-US" w:eastAsia="zh-CN"/>
                    </w:rPr>
                    <w:t>h</w:t>
                  </w:r>
                  <w:r>
                    <w:rPr>
                      <w:rFonts w:hint="eastAsia" w:cs="Times New Roman"/>
                      <w:b w:val="0"/>
                      <w:bCs w:val="0"/>
                      <w:i w:val="0"/>
                      <w:iCs w:val="0"/>
                      <w:color w:val="auto"/>
                      <w:spacing w:val="0"/>
                      <w:kern w:val="0"/>
                      <w:sz w:val="21"/>
                      <w:szCs w:val="21"/>
                      <w:lang w:val="en-US" w:eastAsia="zh-CN"/>
                    </w:rPr>
                    <w:t>）</w:t>
                  </w:r>
                </w:p>
              </w:tc>
              <w:tc>
                <w:tcPr>
                  <w:tcW w:w="96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产生</w:t>
                  </w:r>
                  <w:r>
                    <w:rPr>
                      <w:rFonts w:hint="default" w:ascii="Times New Roman" w:hAnsi="Times New Roman" w:eastAsia="宋体" w:cs="Times New Roman"/>
                      <w:b w:val="0"/>
                      <w:bCs w:val="0"/>
                      <w:i w:val="0"/>
                      <w:iCs w:val="0"/>
                      <w:color w:val="auto"/>
                      <w:spacing w:val="0"/>
                      <w:kern w:val="0"/>
                      <w:sz w:val="21"/>
                      <w:szCs w:val="21"/>
                    </w:rPr>
                    <w:t>浓度</w:t>
                  </w:r>
                  <w:r>
                    <w:rPr>
                      <w:rFonts w:hint="eastAsia" w:cs="Times New Roman"/>
                      <w:b w:val="0"/>
                      <w:bCs w:val="0"/>
                      <w:i w:val="0"/>
                      <w:iCs w:val="0"/>
                      <w:color w:val="auto"/>
                      <w:spacing w:val="0"/>
                      <w:kern w:val="0"/>
                      <w:sz w:val="21"/>
                      <w:szCs w:val="21"/>
                      <w:lang w:eastAsia="zh-CN"/>
                    </w:rPr>
                    <w:t>（</w:t>
                  </w:r>
                  <w:r>
                    <w:rPr>
                      <w:rFonts w:hint="default" w:ascii="Times New Roman" w:hAnsi="Times New Roman" w:cs="Times New Roman"/>
                      <w:b w:val="0"/>
                      <w:bCs w:val="0"/>
                      <w:i w:val="0"/>
                      <w:iCs w:val="0"/>
                      <w:color w:val="auto"/>
                      <w:spacing w:val="0"/>
                      <w:sz w:val="21"/>
                      <w:szCs w:val="21"/>
                      <w:highlight w:val="none"/>
                    </w:rPr>
                    <w:t>mg/m</w:t>
                  </w:r>
                  <w:r>
                    <w:rPr>
                      <w:rFonts w:hint="default" w:ascii="Times New Roman" w:hAnsi="Times New Roman" w:cs="Times New Roman"/>
                      <w:b w:val="0"/>
                      <w:bCs w:val="0"/>
                      <w:i w:val="0"/>
                      <w:iCs w:val="0"/>
                      <w:color w:val="auto"/>
                      <w:spacing w:val="0"/>
                      <w:sz w:val="21"/>
                      <w:szCs w:val="21"/>
                      <w:highlight w:val="none"/>
                      <w:vertAlign w:val="superscript"/>
                    </w:rPr>
                    <w:t>3</w:t>
                  </w:r>
                  <w:r>
                    <w:rPr>
                      <w:rFonts w:hint="eastAsia" w:cs="Times New Roman"/>
                      <w:b w:val="0"/>
                      <w:bCs w:val="0"/>
                      <w:i w:val="0"/>
                      <w:iCs w:val="0"/>
                      <w:color w:val="auto"/>
                      <w:spacing w:val="0"/>
                      <w:sz w:val="21"/>
                      <w:szCs w:val="21"/>
                      <w:highlight w:val="none"/>
                      <w:vertAlign w:val="superscript"/>
                      <w:lang w:eastAsia="zh-CN"/>
                    </w:rPr>
                    <w:t>）</w:t>
                  </w:r>
                </w:p>
              </w:tc>
              <w:tc>
                <w:tcPr>
                  <w:tcW w:w="61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rPr>
                    <w:t>产生量</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t</w:t>
                  </w:r>
                  <w:r>
                    <w:rPr>
                      <w:rFonts w:hint="default" w:ascii="Times New Roman" w:hAnsi="Times New Roman" w:eastAsia="宋体" w:cs="Times New Roman"/>
                      <w:b w:val="0"/>
                      <w:bCs w:val="0"/>
                      <w:i w:val="0"/>
                      <w:iCs w:val="0"/>
                      <w:color w:val="auto"/>
                      <w:spacing w:val="0"/>
                      <w:kern w:val="0"/>
                      <w:sz w:val="21"/>
                      <w:szCs w:val="21"/>
                    </w:rPr>
                    <w:t>/a</w:t>
                  </w:r>
                  <w:r>
                    <w:rPr>
                      <w:rFonts w:hint="eastAsia" w:cs="Times New Roman"/>
                      <w:b w:val="0"/>
                      <w:bCs w:val="0"/>
                      <w:i w:val="0"/>
                      <w:iCs w:val="0"/>
                      <w:color w:val="auto"/>
                      <w:spacing w:val="0"/>
                      <w:kern w:val="0"/>
                      <w:sz w:val="21"/>
                      <w:szCs w:val="21"/>
                      <w:lang w:eastAsia="zh-CN"/>
                    </w:rPr>
                    <w:t>）</w:t>
                  </w:r>
                </w:p>
              </w:tc>
              <w:tc>
                <w:tcPr>
                  <w:tcW w:w="122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工艺</w:t>
                  </w: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效率</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w:t>
                  </w:r>
                  <w:r>
                    <w:rPr>
                      <w:rFonts w:hint="eastAsia" w:cs="Times New Roman"/>
                      <w:b w:val="0"/>
                      <w:bCs w:val="0"/>
                      <w:i w:val="0"/>
                      <w:iCs w:val="0"/>
                      <w:color w:val="auto"/>
                      <w:spacing w:val="0"/>
                      <w:kern w:val="0"/>
                      <w:sz w:val="21"/>
                      <w:szCs w:val="21"/>
                      <w:lang w:val="en-US" w:eastAsia="zh-CN"/>
                    </w:rPr>
                    <w:t>）</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核算方法</w:t>
                  </w:r>
                </w:p>
              </w:tc>
              <w:tc>
                <w:tcPr>
                  <w:tcW w:w="71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lang w:val="en-US"/>
                    </w:rPr>
                  </w:pPr>
                  <w:r>
                    <w:rPr>
                      <w:rFonts w:hint="default" w:ascii="Times New Roman" w:hAnsi="Times New Roman" w:eastAsia="宋体" w:cs="Times New Roman"/>
                      <w:b w:val="0"/>
                      <w:bCs w:val="0"/>
                      <w:i w:val="0"/>
                      <w:iCs w:val="0"/>
                      <w:color w:val="auto"/>
                      <w:spacing w:val="0"/>
                      <w:kern w:val="0"/>
                      <w:sz w:val="21"/>
                      <w:szCs w:val="21"/>
                      <w:lang w:eastAsia="zh-CN"/>
                    </w:rPr>
                    <w:t>排放速率</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kg</w:t>
                  </w:r>
                  <w:r>
                    <w:rPr>
                      <w:rFonts w:hint="default" w:ascii="Times New Roman" w:hAnsi="Times New Roman" w:eastAsia="宋体" w:cs="Times New Roman"/>
                      <w:b w:val="0"/>
                      <w:bCs w:val="0"/>
                      <w:i w:val="0"/>
                      <w:iCs w:val="0"/>
                      <w:color w:val="auto"/>
                      <w:spacing w:val="0"/>
                      <w:kern w:val="0"/>
                      <w:sz w:val="21"/>
                      <w:szCs w:val="21"/>
                    </w:rPr>
                    <w:t>/</w:t>
                  </w:r>
                  <w:r>
                    <w:rPr>
                      <w:rFonts w:hint="default" w:ascii="Times New Roman" w:hAnsi="Times New Roman" w:eastAsia="宋体" w:cs="Times New Roman"/>
                      <w:b w:val="0"/>
                      <w:bCs w:val="0"/>
                      <w:i w:val="0"/>
                      <w:iCs w:val="0"/>
                      <w:color w:val="auto"/>
                      <w:spacing w:val="0"/>
                      <w:kern w:val="0"/>
                      <w:sz w:val="21"/>
                      <w:szCs w:val="21"/>
                      <w:lang w:val="en-US" w:eastAsia="zh-CN"/>
                    </w:rPr>
                    <w:t>h</w:t>
                  </w:r>
                  <w:r>
                    <w:rPr>
                      <w:rFonts w:hint="eastAsia" w:cs="Times New Roman"/>
                      <w:b w:val="0"/>
                      <w:bCs w:val="0"/>
                      <w:i w:val="0"/>
                      <w:iCs w:val="0"/>
                      <w:color w:val="auto"/>
                      <w:spacing w:val="0"/>
                      <w:kern w:val="0"/>
                      <w:sz w:val="21"/>
                      <w:szCs w:val="21"/>
                      <w:lang w:val="en-US" w:eastAsia="zh-CN"/>
                    </w:rPr>
                    <w:t>）</w:t>
                  </w:r>
                </w:p>
              </w:tc>
              <w:tc>
                <w:tcPr>
                  <w:tcW w:w="8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排放</w:t>
                  </w:r>
                  <w:r>
                    <w:rPr>
                      <w:rFonts w:hint="default" w:ascii="Times New Roman" w:hAnsi="Times New Roman" w:eastAsia="宋体" w:cs="Times New Roman"/>
                      <w:b w:val="0"/>
                      <w:bCs w:val="0"/>
                      <w:i w:val="0"/>
                      <w:iCs w:val="0"/>
                      <w:color w:val="auto"/>
                      <w:spacing w:val="0"/>
                      <w:kern w:val="0"/>
                      <w:sz w:val="21"/>
                      <w:szCs w:val="21"/>
                    </w:rPr>
                    <w:t>浓度</w:t>
                  </w:r>
                  <w:r>
                    <w:rPr>
                      <w:rFonts w:hint="eastAsia" w:cs="Times New Roman"/>
                      <w:b w:val="0"/>
                      <w:bCs w:val="0"/>
                      <w:i w:val="0"/>
                      <w:iCs w:val="0"/>
                      <w:color w:val="auto"/>
                      <w:spacing w:val="0"/>
                      <w:kern w:val="0"/>
                      <w:sz w:val="21"/>
                      <w:szCs w:val="21"/>
                      <w:lang w:eastAsia="zh-CN"/>
                    </w:rPr>
                    <w:t>（</w:t>
                  </w:r>
                  <w:r>
                    <w:rPr>
                      <w:rFonts w:hint="default" w:ascii="Times New Roman" w:hAnsi="Times New Roman" w:cs="Times New Roman"/>
                      <w:b w:val="0"/>
                      <w:bCs w:val="0"/>
                      <w:i w:val="0"/>
                      <w:iCs w:val="0"/>
                      <w:color w:val="auto"/>
                      <w:spacing w:val="0"/>
                      <w:sz w:val="21"/>
                      <w:szCs w:val="21"/>
                      <w:highlight w:val="none"/>
                    </w:rPr>
                    <w:t>mg/m</w:t>
                  </w:r>
                  <w:r>
                    <w:rPr>
                      <w:rFonts w:hint="default" w:ascii="Times New Roman" w:hAnsi="Times New Roman" w:cs="Times New Roman"/>
                      <w:b w:val="0"/>
                      <w:bCs w:val="0"/>
                      <w:i w:val="0"/>
                      <w:iCs w:val="0"/>
                      <w:color w:val="auto"/>
                      <w:spacing w:val="0"/>
                      <w:sz w:val="21"/>
                      <w:szCs w:val="21"/>
                      <w:highlight w:val="none"/>
                      <w:vertAlign w:val="superscript"/>
                    </w:rPr>
                    <w:t>3</w:t>
                  </w:r>
                  <w:r>
                    <w:rPr>
                      <w:rFonts w:hint="eastAsia" w:cs="Times New Roman"/>
                      <w:b w:val="0"/>
                      <w:bCs w:val="0"/>
                      <w:i w:val="0"/>
                      <w:iCs w:val="0"/>
                      <w:color w:val="auto"/>
                      <w:spacing w:val="0"/>
                      <w:sz w:val="21"/>
                      <w:szCs w:val="21"/>
                      <w:highlight w:val="none"/>
                      <w:vertAlign w:val="superscript"/>
                      <w:lang w:eastAsia="zh-CN"/>
                    </w:rPr>
                    <w:t>）</w:t>
                  </w:r>
                </w:p>
              </w:tc>
              <w:tc>
                <w:tcPr>
                  <w:tcW w:w="67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排放</w:t>
                  </w:r>
                  <w:r>
                    <w:rPr>
                      <w:rFonts w:hint="default" w:ascii="Times New Roman" w:hAnsi="Times New Roman" w:eastAsia="宋体" w:cs="Times New Roman"/>
                      <w:b w:val="0"/>
                      <w:bCs w:val="0"/>
                      <w:i w:val="0"/>
                      <w:iCs w:val="0"/>
                      <w:color w:val="auto"/>
                      <w:spacing w:val="0"/>
                      <w:kern w:val="0"/>
                      <w:sz w:val="21"/>
                      <w:szCs w:val="21"/>
                    </w:rPr>
                    <w:t>量</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t</w:t>
                  </w:r>
                  <w:r>
                    <w:rPr>
                      <w:rFonts w:hint="default" w:ascii="Times New Roman" w:hAnsi="Times New Roman" w:eastAsia="宋体" w:cs="Times New Roman"/>
                      <w:b w:val="0"/>
                      <w:bCs w:val="0"/>
                      <w:i w:val="0"/>
                      <w:iCs w:val="0"/>
                      <w:color w:val="auto"/>
                      <w:spacing w:val="0"/>
                      <w:kern w:val="0"/>
                      <w:sz w:val="21"/>
                      <w:szCs w:val="21"/>
                    </w:rPr>
                    <w:t>/a</w:t>
                  </w:r>
                  <w:r>
                    <w:rPr>
                      <w:rFonts w:hint="eastAsia" w:cs="Times New Roman"/>
                      <w:b w:val="0"/>
                      <w:bCs w:val="0"/>
                      <w:i w:val="0"/>
                      <w:iCs w:val="0"/>
                      <w:color w:val="auto"/>
                      <w:spacing w:val="0"/>
                      <w:kern w:val="0"/>
                      <w:sz w:val="21"/>
                      <w:szCs w:val="21"/>
                      <w:lang w:eastAsia="zh-CN"/>
                    </w:rPr>
                    <w:t>）</w:t>
                  </w:r>
                </w:p>
              </w:tc>
              <w:tc>
                <w:tcPr>
                  <w:tcW w:w="579"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val="0"/>
                      <w:bCs w:val="0"/>
                      <w:color w:val="auto"/>
                      <w:spacing w:val="0"/>
                      <w:sz w:val="21"/>
                      <w:szCs w:val="21"/>
                      <w:vertAlign w:val="baseli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装卸</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筛分</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w:t>
                  </w:r>
                  <w:r>
                    <w:rPr>
                      <w:rFonts w:hint="eastAsia" w:ascii="Times New Roman" w:hAnsi="Times New Roman" w:eastAsia="宋体" w:cs="Times New Roman"/>
                      <w:b w:val="0"/>
                      <w:bCs w:val="0"/>
                      <w:i w:val="0"/>
                      <w:iCs w:val="0"/>
                      <w:color w:val="auto"/>
                      <w:spacing w:val="0"/>
                      <w:sz w:val="21"/>
                      <w:szCs w:val="21"/>
                      <w:vertAlign w:val="baseline"/>
                      <w:lang w:eastAsia="zh-CN"/>
                    </w:rPr>
                    <w:t>烘干塔、</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lang w:eastAsia="zh-CN"/>
                    </w:rPr>
                    <w:t>输送</w:t>
                  </w:r>
                  <w:r>
                    <w:rPr>
                      <w:rFonts w:hint="default" w:ascii="Times New Roman" w:hAnsi="Times New Roman" w:eastAsia="宋体" w:cs="Times New Roman"/>
                      <w:b w:val="0"/>
                      <w:bCs w:val="0"/>
                      <w:i w:val="0"/>
                      <w:iCs w:val="0"/>
                      <w:color w:val="auto"/>
                      <w:spacing w:val="0"/>
                      <w:sz w:val="21"/>
                      <w:szCs w:val="21"/>
                      <w:vertAlign w:val="baseline"/>
                      <w:lang w:val="en-US" w:eastAsia="zh-CN"/>
                    </w:rPr>
                    <w:t>无组织</w:t>
                  </w: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lang w:val="en-US" w:eastAsia="zh-CN"/>
                    </w:rPr>
                    <w:t>颗粒物</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产污系数法</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6.25</w:t>
                  </w:r>
                </w:p>
              </w:tc>
              <w:tc>
                <w:tcPr>
                  <w:tcW w:w="96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61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4.5</w:t>
                  </w:r>
                </w:p>
              </w:tc>
              <w:tc>
                <w:tcPr>
                  <w:tcW w:w="122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封闭传送带，装卸区设置遮挡设施，采用封闭式清理筛，</w:t>
                  </w:r>
                  <w:r>
                    <w:rPr>
                      <w:rFonts w:hint="eastAsia" w:ascii="Times New Roman" w:hAnsi="Times New Roman" w:eastAsia="宋体" w:cs="Times New Roman"/>
                      <w:b w:val="0"/>
                      <w:bCs w:val="0"/>
                      <w:i w:val="0"/>
                      <w:iCs w:val="0"/>
                      <w:color w:val="auto"/>
                      <w:spacing w:val="0"/>
                      <w:kern w:val="0"/>
                      <w:sz w:val="21"/>
                      <w:szCs w:val="21"/>
                      <w:lang w:val="en-US" w:eastAsia="zh-CN"/>
                    </w:rPr>
                    <w:t>烘干塔体两侧排气孔设置折流挡板</w:t>
                  </w: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90</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lang w:val="en-US" w:eastAsia="zh-CN"/>
                    </w:rPr>
                    <w:t>产污系数法</w:t>
                  </w:r>
                </w:p>
              </w:tc>
              <w:tc>
                <w:tcPr>
                  <w:tcW w:w="71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b w:val="0"/>
                      <w:bCs w:val="0"/>
                      <w:i w:val="0"/>
                      <w:iCs w:val="0"/>
                      <w:color w:val="auto"/>
                      <w:spacing w:val="0"/>
                      <w:kern w:val="0"/>
                      <w:sz w:val="21"/>
                      <w:szCs w:val="21"/>
                      <w:lang w:val="en-US" w:eastAsia="zh-CN" w:bidi="ar-SA"/>
                    </w:rPr>
                    <w:t>0.625</w:t>
                  </w:r>
                </w:p>
              </w:tc>
              <w:tc>
                <w:tcPr>
                  <w:tcW w:w="8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lang w:val="en-US" w:eastAsia="zh-CN" w:bidi="ar-SA"/>
                    </w:rPr>
                    <w:t>/</w:t>
                  </w:r>
                </w:p>
              </w:tc>
              <w:tc>
                <w:tcPr>
                  <w:tcW w:w="67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b w:val="0"/>
                      <w:bCs w:val="0"/>
                      <w:i w:val="0"/>
                      <w:iCs w:val="0"/>
                      <w:color w:val="auto"/>
                      <w:spacing w:val="0"/>
                      <w:kern w:val="0"/>
                      <w:sz w:val="21"/>
                      <w:szCs w:val="21"/>
                      <w:lang w:val="en-US" w:eastAsia="zh-CN" w:bidi="ar-SA"/>
                    </w:rPr>
                    <w:t>0.45</w:t>
                  </w:r>
                </w:p>
              </w:tc>
              <w:tc>
                <w:tcPr>
                  <w:tcW w:w="579"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720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2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lang w:val="en-US" w:eastAsia="zh-CN"/>
                    </w:rPr>
                    <w:t>热风炉烟气有组织</w:t>
                  </w: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pPr>
                  <w: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t>颗粒物</w:t>
                  </w:r>
                </w:p>
              </w:tc>
              <w:tc>
                <w:tcPr>
                  <w:tcW w:w="429"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物料衡算法</w:t>
                  </w:r>
                </w:p>
              </w:tc>
              <w:tc>
                <w:tcPr>
                  <w:tcW w:w="761" w:type="dxa"/>
                  <w:tcBorders>
                    <w:tl2br w:val="nil"/>
                    <w:tr2bl w:val="nil"/>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b w:val="0"/>
                      <w:bCs w:val="0"/>
                      <w:i w:val="0"/>
                      <w:iCs w:val="0"/>
                      <w:color w:val="auto"/>
                      <w:spacing w:val="0"/>
                      <w:kern w:val="0"/>
                      <w:sz w:val="21"/>
                      <w:szCs w:val="21"/>
                      <w:lang w:val="en-US" w:eastAsia="zh-CN"/>
                    </w:rPr>
                    <w:t>141.753</w:t>
                  </w:r>
                </w:p>
              </w:tc>
              <w:tc>
                <w:tcPr>
                  <w:tcW w:w="96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13703.629</w:t>
                  </w:r>
                </w:p>
              </w:tc>
              <w:tc>
                <w:tcPr>
                  <w:tcW w:w="61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102.063</w:t>
                  </w:r>
                </w:p>
              </w:tc>
              <w:tc>
                <w:tcPr>
                  <w:tcW w:w="122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低氮燃烧技术+</w:t>
                  </w:r>
                  <w:r>
                    <w:rPr>
                      <w:rFonts w:hint="default" w:ascii="Times New Roman" w:hAnsi="Times New Roman" w:cs="Times New Roman"/>
                      <w:b w:val="0"/>
                      <w:bCs w:val="0"/>
                      <w:color w:val="auto"/>
                      <w:spacing w:val="0"/>
                      <w:sz w:val="21"/>
                      <w:szCs w:val="21"/>
                      <w:vertAlign w:val="baseline"/>
                      <w:lang w:val="en-US" w:eastAsia="zh-CN"/>
                    </w:rPr>
                    <w:t>布袋除尘器</w:t>
                  </w:r>
                  <w:r>
                    <w:rPr>
                      <w:rFonts w:hint="eastAsia" w:cs="Times New Roman"/>
                      <w:b w:val="0"/>
                      <w:bCs w:val="0"/>
                      <w:color w:val="auto"/>
                      <w:spacing w:val="0"/>
                      <w:sz w:val="21"/>
                      <w:szCs w:val="21"/>
                      <w:vertAlign w:val="baseline"/>
                      <w:lang w:val="en-US" w:eastAsia="zh-CN"/>
                    </w:rPr>
                    <w:t>+</w:t>
                  </w:r>
                  <w:r>
                    <w:rPr>
                      <w:rFonts w:hint="default" w:ascii="Times New Roman" w:hAnsi="Times New Roman" w:cs="Times New Roman"/>
                      <w:b w:val="0"/>
                      <w:bCs w:val="0"/>
                      <w:color w:val="auto"/>
                      <w:spacing w:val="0"/>
                      <w:sz w:val="21"/>
                      <w:szCs w:val="21"/>
                      <w:vertAlign w:val="baseline"/>
                      <w:lang w:val="en-US" w:eastAsia="zh-CN"/>
                    </w:rPr>
                    <w:t>15m高</w:t>
                  </w:r>
                  <w:r>
                    <w:rPr>
                      <w:rFonts w:hint="eastAsia" w:cs="Times New Roman"/>
                      <w:b w:val="0"/>
                      <w:bCs w:val="0"/>
                      <w:color w:val="auto"/>
                      <w:spacing w:val="0"/>
                      <w:sz w:val="21"/>
                      <w:szCs w:val="21"/>
                      <w:vertAlign w:val="baseline"/>
                      <w:lang w:val="en-US" w:eastAsia="zh-CN"/>
                    </w:rPr>
                    <w:t>排气筒</w:t>
                  </w: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99</w:t>
                  </w:r>
                </w:p>
              </w:tc>
              <w:tc>
                <w:tcPr>
                  <w:tcW w:w="429"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r>
                    <w:rPr>
                      <w:rFonts w:hint="default" w:ascii="Times New Roman" w:hAnsi="Times New Roman" w:eastAsia="宋体" w:cs="Times New Roman"/>
                      <w:b w:val="0"/>
                      <w:bCs w:val="0"/>
                      <w:i w:val="0"/>
                      <w:iCs w:val="0"/>
                      <w:color w:val="auto"/>
                      <w:spacing w:val="0"/>
                      <w:kern w:val="0"/>
                      <w:sz w:val="21"/>
                      <w:szCs w:val="21"/>
                      <w:lang w:val="en-US" w:eastAsia="zh-CN"/>
                    </w:rPr>
                    <w:t>物料衡算法</w:t>
                  </w: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1.418</w:t>
                  </w:r>
                </w:p>
              </w:tc>
              <w:tc>
                <w:tcPr>
                  <w:tcW w:w="882"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137.04</w:t>
                  </w:r>
                </w:p>
              </w:tc>
              <w:tc>
                <w:tcPr>
                  <w:tcW w:w="67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1.021</w:t>
                  </w:r>
                </w:p>
              </w:tc>
              <w:tc>
                <w:tcPr>
                  <w:tcW w:w="579" w:type="dxa"/>
                  <w:vMerge w:val="restar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720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pPr>
                  <w: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t>二氧化硫</w:t>
                  </w:r>
                </w:p>
              </w:tc>
              <w:tc>
                <w:tcPr>
                  <w:tcW w:w="42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76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i w:val="0"/>
                      <w:iCs w:val="0"/>
                      <w:color w:val="auto"/>
                      <w:kern w:val="0"/>
                      <w:sz w:val="21"/>
                      <w:szCs w:val="21"/>
                      <w:u w:val="none"/>
                      <w:lang w:val="en-US" w:eastAsia="zh-CN" w:bidi="ar"/>
                    </w:rPr>
                    <w:t>0.875</w:t>
                  </w:r>
                </w:p>
              </w:tc>
              <w:tc>
                <w:tcPr>
                  <w:tcW w:w="96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i w:val="0"/>
                      <w:iCs w:val="0"/>
                      <w:color w:val="auto"/>
                      <w:kern w:val="0"/>
                      <w:sz w:val="21"/>
                      <w:szCs w:val="21"/>
                      <w:u w:val="none"/>
                      <w:lang w:val="en-US" w:eastAsia="zh-CN" w:bidi="ar"/>
                    </w:rPr>
                    <w:t>84.588</w:t>
                  </w:r>
                </w:p>
              </w:tc>
              <w:tc>
                <w:tcPr>
                  <w:tcW w:w="61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i w:val="0"/>
                      <w:iCs w:val="0"/>
                      <w:color w:val="auto"/>
                      <w:kern w:val="0"/>
                      <w:sz w:val="21"/>
                      <w:szCs w:val="21"/>
                      <w:u w:val="none"/>
                      <w:lang w:val="en-US" w:eastAsia="zh-CN" w:bidi="ar"/>
                    </w:rPr>
                    <w:t>0.630</w:t>
                  </w:r>
                </w:p>
              </w:tc>
              <w:tc>
                <w:tcPr>
                  <w:tcW w:w="122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42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0.875</w:t>
                  </w:r>
                </w:p>
              </w:tc>
              <w:tc>
                <w:tcPr>
                  <w:tcW w:w="882"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84.588</w:t>
                  </w:r>
                </w:p>
              </w:tc>
              <w:tc>
                <w:tcPr>
                  <w:tcW w:w="67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0.630</w:t>
                  </w:r>
                </w:p>
              </w:tc>
              <w:tc>
                <w:tcPr>
                  <w:tcW w:w="579"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pPr>
                  <w: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t>氮氧化物</w:t>
                  </w:r>
                </w:p>
              </w:tc>
              <w:tc>
                <w:tcPr>
                  <w:tcW w:w="42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76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i w:val="0"/>
                      <w:iCs w:val="0"/>
                      <w:color w:val="auto"/>
                      <w:kern w:val="0"/>
                      <w:sz w:val="21"/>
                      <w:szCs w:val="21"/>
                      <w:u w:val="none"/>
                      <w:lang w:val="en-US" w:eastAsia="zh-CN" w:bidi="ar"/>
                    </w:rPr>
                    <w:t>1.303</w:t>
                  </w:r>
                </w:p>
              </w:tc>
              <w:tc>
                <w:tcPr>
                  <w:tcW w:w="96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i w:val="0"/>
                      <w:iCs w:val="0"/>
                      <w:color w:val="auto"/>
                      <w:kern w:val="0"/>
                      <w:sz w:val="21"/>
                      <w:szCs w:val="21"/>
                      <w:u w:val="none"/>
                      <w:lang w:val="en-US" w:eastAsia="zh-CN" w:bidi="ar"/>
                    </w:rPr>
                    <w:t>126</w:t>
                  </w:r>
                </w:p>
              </w:tc>
              <w:tc>
                <w:tcPr>
                  <w:tcW w:w="61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0.938</w:t>
                  </w:r>
                </w:p>
              </w:tc>
              <w:tc>
                <w:tcPr>
                  <w:tcW w:w="122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30（源头控制）</w:t>
                  </w:r>
                </w:p>
              </w:tc>
              <w:tc>
                <w:tcPr>
                  <w:tcW w:w="42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1.303</w:t>
                  </w:r>
                </w:p>
              </w:tc>
              <w:tc>
                <w:tcPr>
                  <w:tcW w:w="882"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126</w:t>
                  </w:r>
                </w:p>
              </w:tc>
              <w:tc>
                <w:tcPr>
                  <w:tcW w:w="67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b w:val="0"/>
                      <w:bCs w:val="0"/>
                      <w:i w:val="0"/>
                      <w:iCs w:val="0"/>
                      <w:color w:val="auto"/>
                      <w:spacing w:val="0"/>
                      <w:kern w:val="0"/>
                      <w:sz w:val="21"/>
                      <w:szCs w:val="21"/>
                      <w:lang w:val="en-US" w:eastAsia="zh-CN"/>
                    </w:rPr>
                    <w:t>0.938</w:t>
                  </w:r>
                </w:p>
              </w:tc>
              <w:tc>
                <w:tcPr>
                  <w:tcW w:w="579"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pPr>
                  <w:r>
                    <w:rPr>
                      <w:rFonts w:hint="eastAsia" w:ascii="Times New Roman" w:hAnsi="Times New Roman" w:eastAsia="宋体" w:cs="Times New Roman"/>
                      <w:b w:val="0"/>
                      <w:bCs w:val="0"/>
                      <w:i w:val="0"/>
                      <w:iCs w:val="0"/>
                      <w:color w:val="auto"/>
                      <w:spacing w:val="0"/>
                      <w:kern w:val="2"/>
                      <w:sz w:val="21"/>
                      <w:szCs w:val="21"/>
                      <w:vertAlign w:val="baseline"/>
                      <w:lang w:val="en-US" w:eastAsia="zh-CN" w:bidi="ar-SA"/>
                    </w:rPr>
                    <w:t>烟气黑度</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类比法</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w:t>
                  </w:r>
                </w:p>
              </w:tc>
              <w:tc>
                <w:tcPr>
                  <w:tcW w:w="966"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&lt;1级</w:t>
                  </w:r>
                </w:p>
              </w:tc>
              <w:tc>
                <w:tcPr>
                  <w:tcW w:w="617"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122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类比法</w:t>
                  </w:r>
                </w:p>
              </w:tc>
              <w:tc>
                <w:tcPr>
                  <w:tcW w:w="71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b w:val="0"/>
                      <w:bCs w:val="0"/>
                      <w:i w:val="0"/>
                      <w:iCs w:val="0"/>
                      <w:color w:val="auto"/>
                      <w:spacing w:val="0"/>
                      <w:kern w:val="0"/>
                      <w:sz w:val="21"/>
                      <w:szCs w:val="21"/>
                      <w:lang w:val="en-US" w:eastAsia="zh-CN"/>
                    </w:rPr>
                    <w:t>/</w:t>
                  </w:r>
                </w:p>
              </w:tc>
              <w:tc>
                <w:tcPr>
                  <w:tcW w:w="882"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&lt;1级</w:t>
                  </w:r>
                </w:p>
              </w:tc>
              <w:tc>
                <w:tcPr>
                  <w:tcW w:w="674" w:type="dxa"/>
                  <w:tcBorders>
                    <w:tl2br w:val="nil"/>
                    <w:tr2bl w:val="nil"/>
                  </w:tcBorders>
                  <w:noWrap w:val="0"/>
                  <w:vAlign w:val="center"/>
                </w:tcPr>
                <w:p>
                  <w:pPr>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579"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r>
          </w:tbl>
          <w:p>
            <w:pPr>
              <w:keepLines w:val="0"/>
              <w:pageBreakBefore w:val="0"/>
              <w:numPr>
                <w:ilvl w:val="0"/>
                <w:numId w:val="0"/>
              </w:numPr>
              <w:tabs>
                <w:tab w:val="left" w:pos="1291"/>
              </w:tabs>
              <w:topLinePunct w:val="0"/>
              <w:bidi w:val="0"/>
              <w:spacing w:beforeAutospacing="0" w:afterAutospacing="0" w:line="360" w:lineRule="auto"/>
              <w:ind w:left="0" w:leftChars="0" w:right="0" w:rightChars="0" w:firstLine="480" w:firstLineChars="200"/>
              <w:jc w:val="left"/>
              <w:rPr>
                <w:rFonts w:hint="default" w:ascii="Times New Roman" w:hAnsi="Times New Roman" w:cs="Times New Roman" w:eastAsiaTheme="minorEastAsia"/>
                <w:color w:val="auto"/>
                <w:sz w:val="24"/>
                <w:szCs w:val="28"/>
              </w:rPr>
            </w:pPr>
            <w:r>
              <w:rPr>
                <w:rFonts w:hint="default" w:ascii="Times New Roman" w:hAnsi="Times New Roman" w:cs="Times New Roman" w:eastAsiaTheme="minorEastAsia"/>
                <w:color w:val="auto"/>
                <w:sz w:val="24"/>
                <w:szCs w:val="28"/>
              </w:rPr>
              <w:t>非正常工况排污</w:t>
            </w:r>
          </w:p>
          <w:p>
            <w:pPr>
              <w:pStyle w:val="61"/>
              <w:keepLines w:val="0"/>
              <w:pageBreakBefore w:val="0"/>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若项目热风炉配套的布袋除尘器</w:t>
            </w:r>
            <w:r>
              <w:rPr>
                <w:rFonts w:hint="eastAsia" w:cs="Times New Roman"/>
                <w:color w:val="auto"/>
                <w:sz w:val="24"/>
                <w:szCs w:val="24"/>
                <w:lang w:val="en-US" w:eastAsia="zh-CN"/>
              </w:rPr>
              <w:t>发</w:t>
            </w:r>
            <w:r>
              <w:rPr>
                <w:rFonts w:hint="default" w:ascii="Times New Roman" w:hAnsi="Times New Roman" w:eastAsia="宋体" w:cs="Times New Roman"/>
                <w:color w:val="auto"/>
                <w:sz w:val="24"/>
                <w:szCs w:val="24"/>
              </w:rPr>
              <w:t>生故障，</w:t>
            </w:r>
            <w:r>
              <w:rPr>
                <w:rFonts w:hint="eastAsia" w:cs="Times New Roman"/>
                <w:color w:val="auto"/>
                <w:sz w:val="24"/>
                <w:szCs w:val="24"/>
                <w:lang w:val="en-US" w:eastAsia="zh-CN"/>
              </w:rPr>
              <w:t>取最不利情况，布袋破碎，</w:t>
            </w:r>
            <w:r>
              <w:rPr>
                <w:rFonts w:hint="default" w:ascii="Times New Roman" w:hAnsi="Times New Roman" w:eastAsia="宋体" w:cs="Times New Roman"/>
                <w:color w:val="auto"/>
                <w:sz w:val="24"/>
                <w:szCs w:val="24"/>
              </w:rPr>
              <w:t>会导致除尘效率下降为</w:t>
            </w:r>
            <w:r>
              <w:rPr>
                <w:rFonts w:hint="eastAsia" w:cs="Times New Roman"/>
                <w:color w:val="auto"/>
                <w:sz w:val="24"/>
                <w:szCs w:val="24"/>
                <w:lang w:val="en-US" w:eastAsia="zh-CN"/>
              </w:rPr>
              <w:t>95</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，若发生非正常工况时，企业做停产处理</w:t>
            </w:r>
            <w:r>
              <w:rPr>
                <w:rFonts w:hint="eastAsia" w:cs="Times New Roman"/>
                <w:color w:val="auto"/>
                <w:sz w:val="24"/>
                <w:szCs w:val="24"/>
                <w:lang w:eastAsia="zh-CN"/>
              </w:rPr>
              <w:t>，</w:t>
            </w:r>
            <w:r>
              <w:rPr>
                <w:rFonts w:hint="eastAsia" w:cs="Times New Roman"/>
                <w:color w:val="auto"/>
                <w:sz w:val="24"/>
                <w:szCs w:val="24"/>
                <w:lang w:val="en-US" w:eastAsia="zh-CN"/>
              </w:rPr>
              <w:t>恢复正常后重新运行。</w:t>
            </w:r>
            <w:r>
              <w:rPr>
                <w:rFonts w:hint="default" w:ascii="Times New Roman" w:hAnsi="Times New Roman" w:eastAsia="宋体" w:cs="Times New Roman"/>
                <w:color w:val="auto"/>
                <w:sz w:val="24"/>
                <w:szCs w:val="24"/>
                <w:lang w:val="en-US" w:eastAsia="zh-CN"/>
              </w:rPr>
              <w:t>非正常工况下废气污染源强核算结果及相关参数</w:t>
            </w:r>
            <w:r>
              <w:rPr>
                <w:rFonts w:hint="eastAsia" w:cs="Times New Roman"/>
                <w:color w:val="auto"/>
                <w:sz w:val="24"/>
                <w:szCs w:val="24"/>
                <w:lang w:val="en-US" w:eastAsia="zh-CN"/>
              </w:rPr>
              <w:t>见</w:t>
            </w:r>
            <w:r>
              <w:rPr>
                <w:rFonts w:hint="default" w:ascii="Times New Roman" w:hAnsi="Times New Roman" w:eastAsia="宋体" w:cs="Times New Roman"/>
                <w:color w:val="auto"/>
                <w:sz w:val="24"/>
                <w:szCs w:val="24"/>
                <w:lang w:val="en-US" w:eastAsia="zh-CN"/>
              </w:rPr>
              <w:t>表</w:t>
            </w:r>
            <w:r>
              <w:rPr>
                <w:rFonts w:hint="eastAsia" w:cs="Times New Roman"/>
                <w:color w:val="auto"/>
                <w:sz w:val="24"/>
                <w:szCs w:val="24"/>
                <w:lang w:val="en-US" w:eastAsia="zh-CN"/>
              </w:rPr>
              <w:t>4-3</w:t>
            </w:r>
            <w:r>
              <w:rPr>
                <w:rFonts w:hint="default" w:ascii="Times New Roman" w:hAnsi="Times New Roman" w:eastAsia="宋体" w:cs="Times New Roman"/>
                <w:color w:val="auto"/>
                <w:sz w:val="24"/>
                <w:szCs w:val="24"/>
                <w:lang w:eastAsia="zh-CN"/>
              </w:rPr>
              <w:t>。</w:t>
            </w:r>
          </w:p>
          <w:p>
            <w:pPr>
              <w:pStyle w:val="96"/>
              <w:keepLines w:val="0"/>
              <w:pageBreakBefore w:val="0"/>
              <w:topLinePunct w:val="0"/>
              <w:bidi w:val="0"/>
              <w:adjustRightInd w:val="0"/>
              <w:snapToGrid w:val="0"/>
              <w:spacing w:beforeAutospacing="0" w:afterAutospacing="0" w:line="360" w:lineRule="auto"/>
              <w:ind w:left="0" w:leftChars="0" w:right="0" w:rightChars="0" w:firstLine="422" w:firstLineChars="200"/>
              <w:rPr>
                <w:rFonts w:hint="default" w:ascii="Times New Roman" w:hAnsi="Times New Roman" w:cs="Times New Roman" w:eastAsiaTheme="minorEastAsia"/>
                <w:b/>
                <w:bCs/>
                <w:color w:val="auto"/>
                <w:kern w:val="2"/>
                <w:sz w:val="21"/>
                <w:szCs w:val="24"/>
                <w:highlight w:val="none"/>
                <w:lang w:val="en-US" w:eastAsia="zh-CN" w:bidi="ar-SA"/>
              </w:rPr>
            </w:pPr>
            <w:r>
              <w:rPr>
                <w:rFonts w:hint="default" w:ascii="Times New Roman" w:hAnsi="Times New Roman" w:cs="Times New Roman" w:eastAsiaTheme="minorEastAsia"/>
                <w:b/>
                <w:bCs/>
                <w:color w:val="auto"/>
                <w:kern w:val="2"/>
                <w:sz w:val="21"/>
                <w:szCs w:val="24"/>
                <w:highlight w:val="none"/>
                <w:lang w:val="en-US" w:eastAsia="zh-CN" w:bidi="ar-SA"/>
              </w:rPr>
              <w:t>表4-</w:t>
            </w:r>
            <w:r>
              <w:rPr>
                <w:rFonts w:hint="eastAsia" w:ascii="Times New Roman" w:hAnsi="Times New Roman" w:cs="Times New Roman" w:eastAsiaTheme="minorEastAsia"/>
                <w:b/>
                <w:bCs/>
                <w:color w:val="auto"/>
                <w:kern w:val="2"/>
                <w:sz w:val="21"/>
                <w:szCs w:val="24"/>
                <w:highlight w:val="none"/>
                <w:lang w:val="en-US" w:eastAsia="zh-CN" w:bidi="ar-SA"/>
              </w:rPr>
              <w:t>3</w:t>
            </w:r>
            <w:r>
              <w:rPr>
                <w:rFonts w:hint="default" w:ascii="Times New Roman" w:hAnsi="Times New Roman" w:cs="Times New Roman" w:eastAsiaTheme="minorEastAsia"/>
                <w:b/>
                <w:bCs/>
                <w:color w:val="auto"/>
                <w:kern w:val="2"/>
                <w:sz w:val="21"/>
                <w:szCs w:val="24"/>
                <w:highlight w:val="none"/>
                <w:lang w:val="en-US" w:eastAsia="zh-CN" w:bidi="ar-SA"/>
              </w:rPr>
              <w:t xml:space="preserve">  非正常工况下废气污染源强核算结果及相关参数一览表</w:t>
            </w:r>
          </w:p>
          <w:tbl>
            <w:tblPr>
              <w:tblStyle w:val="30"/>
              <w:tblW w:w="8666"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37"/>
              <w:gridCol w:w="654"/>
              <w:gridCol w:w="1194"/>
              <w:gridCol w:w="546"/>
              <w:gridCol w:w="1483"/>
              <w:gridCol w:w="1414"/>
              <w:gridCol w:w="954"/>
              <w:gridCol w:w="898"/>
              <w:gridCol w:w="1086"/>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PrEx>
              <w:trPr>
                <w:trHeight w:val="454" w:hRule="atLeast"/>
              </w:trPr>
              <w:tc>
                <w:tcPr>
                  <w:tcW w:w="437"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序号</w:t>
                  </w:r>
                </w:p>
              </w:tc>
              <w:tc>
                <w:tcPr>
                  <w:tcW w:w="65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污染源</w:t>
                  </w:r>
                </w:p>
              </w:tc>
              <w:tc>
                <w:tcPr>
                  <w:tcW w:w="119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非正常排放原因</w:t>
                  </w:r>
                </w:p>
              </w:tc>
              <w:tc>
                <w:tcPr>
                  <w:tcW w:w="546"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污染物</w:t>
                  </w:r>
                </w:p>
              </w:tc>
              <w:tc>
                <w:tcPr>
                  <w:tcW w:w="1483"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非正常排放浓度/（</w:t>
                  </w:r>
                  <w:r>
                    <w:rPr>
                      <w:rFonts w:hint="default" w:ascii="Times New Roman" w:hAnsi="Times New Roman" w:cs="Times New Roman"/>
                      <w:color w:val="auto"/>
                      <w:kern w:val="0"/>
                      <w:sz w:val="21"/>
                      <w:szCs w:val="21"/>
                      <w:lang w:val="en-US" w:eastAsia="zh-CN"/>
                    </w:rPr>
                    <w:t>m</w:t>
                  </w:r>
                  <w:r>
                    <w:rPr>
                      <w:rFonts w:hint="default" w:ascii="Times New Roman" w:hAnsi="Times New Roman" w:cs="Times New Roman"/>
                      <w:color w:val="auto"/>
                      <w:kern w:val="0"/>
                      <w:sz w:val="21"/>
                      <w:szCs w:val="21"/>
                    </w:rPr>
                    <w:t>g/m</w:t>
                  </w:r>
                  <w:r>
                    <w:rPr>
                      <w:rFonts w:hint="default" w:ascii="Times New Roman" w:hAnsi="Times New Roman" w:cs="Times New Roman"/>
                      <w:color w:val="auto"/>
                      <w:kern w:val="0"/>
                      <w:sz w:val="21"/>
                      <w:szCs w:val="21"/>
                      <w:vertAlign w:val="superscript"/>
                    </w:rPr>
                    <w:t>3</w:t>
                  </w:r>
                  <w:r>
                    <w:rPr>
                      <w:rFonts w:hint="default" w:ascii="Times New Roman" w:hAnsi="Times New Roman" w:cs="Times New Roman"/>
                      <w:color w:val="auto"/>
                      <w:kern w:val="0"/>
                      <w:sz w:val="21"/>
                      <w:szCs w:val="21"/>
                    </w:rPr>
                    <w:t>）</w:t>
                  </w:r>
                </w:p>
              </w:tc>
              <w:tc>
                <w:tcPr>
                  <w:tcW w:w="141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非正常排放速率/（kg/h）</w:t>
                  </w:r>
                </w:p>
              </w:tc>
              <w:tc>
                <w:tcPr>
                  <w:tcW w:w="95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单次持续时间/h</w:t>
                  </w:r>
                </w:p>
              </w:tc>
              <w:tc>
                <w:tcPr>
                  <w:tcW w:w="898"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年发生频次/次</w:t>
                  </w:r>
                </w:p>
              </w:tc>
              <w:tc>
                <w:tcPr>
                  <w:tcW w:w="1086"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应对</w:t>
                  </w:r>
                </w:p>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措施</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PrEx>
              <w:trPr>
                <w:trHeight w:val="454" w:hRule="atLeast"/>
              </w:trPr>
              <w:tc>
                <w:tcPr>
                  <w:tcW w:w="437"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w:t>
                  </w:r>
                </w:p>
              </w:tc>
              <w:tc>
                <w:tcPr>
                  <w:tcW w:w="65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lang w:eastAsia="zh-CN"/>
                    </w:rPr>
                    <w:t>热风炉</w:t>
                  </w:r>
                </w:p>
              </w:tc>
              <w:tc>
                <w:tcPr>
                  <w:tcW w:w="119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布袋除尘器布袋破损</w:t>
                  </w:r>
                </w:p>
              </w:tc>
              <w:tc>
                <w:tcPr>
                  <w:tcW w:w="546"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eastAsia="zh-CN"/>
                    </w:rPr>
                    <w:t>烟尘</w:t>
                  </w:r>
                </w:p>
              </w:tc>
              <w:tc>
                <w:tcPr>
                  <w:tcW w:w="1483" w:type="dxa"/>
                  <w:tcBorders>
                    <w:tl2br w:val="nil"/>
                    <w:tr2bl w:val="nil"/>
                  </w:tcBorders>
                  <w:noWrap/>
                  <w:vAlign w:val="center"/>
                </w:tcPr>
                <w:p>
                  <w:pPr>
                    <w:pStyle w:val="52"/>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685.181</w:t>
                  </w:r>
                </w:p>
              </w:tc>
              <w:tc>
                <w:tcPr>
                  <w:tcW w:w="1414" w:type="dxa"/>
                  <w:tcBorders>
                    <w:tl2br w:val="nil"/>
                    <w:tr2bl w:val="nil"/>
                  </w:tcBorders>
                  <w:noWrap/>
                  <w:vAlign w:val="center"/>
                </w:tcPr>
                <w:p>
                  <w:pPr>
                    <w:pStyle w:val="52"/>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5.103</w:t>
                  </w:r>
                </w:p>
              </w:tc>
              <w:tc>
                <w:tcPr>
                  <w:tcW w:w="954" w:type="dxa"/>
                  <w:tcBorders>
                    <w:tl2br w:val="nil"/>
                    <w:tr2bl w:val="nil"/>
                  </w:tcBorders>
                  <w:noWrap/>
                  <w:vAlign w:val="center"/>
                </w:tcPr>
                <w:p>
                  <w:pPr>
                    <w:pStyle w:val="52"/>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1h</w:t>
                  </w:r>
                </w:p>
              </w:tc>
              <w:tc>
                <w:tcPr>
                  <w:tcW w:w="898"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val="en-US" w:eastAsia="zh-CN"/>
                    </w:rPr>
                    <w:t>1</w:t>
                  </w:r>
                  <w:r>
                    <w:rPr>
                      <w:rFonts w:hint="default" w:ascii="Times New Roman" w:hAnsi="Times New Roman" w:cs="Times New Roman"/>
                      <w:color w:val="auto"/>
                      <w:kern w:val="0"/>
                      <w:sz w:val="21"/>
                      <w:szCs w:val="21"/>
                    </w:rPr>
                    <w:t>次</w:t>
                  </w:r>
                </w:p>
              </w:tc>
              <w:tc>
                <w:tcPr>
                  <w:tcW w:w="1086"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停止生产及时检修</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eastAsia" w:ascii="Times New Roman" w:hAnsi="Times New Roman" w:eastAsia="宋体" w:cs="Times New Roman"/>
                <w:bCs/>
                <w:color w:val="auto"/>
                <w:spacing w:val="-10"/>
                <w:sz w:val="24"/>
                <w:szCs w:val="24"/>
                <w:lang w:val="en-US" w:eastAsia="zh-CN"/>
              </w:rPr>
              <w:t>2、</w:t>
            </w:r>
            <w:r>
              <w:rPr>
                <w:rFonts w:hint="default" w:ascii="Times New Roman" w:hAnsi="Times New Roman" w:eastAsia="宋体" w:cs="Times New Roman"/>
                <w:bCs/>
                <w:color w:val="auto"/>
                <w:spacing w:val="-10"/>
                <w:sz w:val="24"/>
                <w:szCs w:val="24"/>
                <w:lang w:val="en-US" w:eastAsia="zh-CN"/>
              </w:rPr>
              <w:t>治理设施</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本项目灰渣仓、燃料库、仓储库均为封闭结构，本项目</w:t>
            </w:r>
            <w:r>
              <w:rPr>
                <w:rFonts w:hint="default" w:ascii="Times New Roman" w:hAnsi="Times New Roman" w:cs="Times New Roman"/>
                <w:color w:val="auto"/>
                <w:sz w:val="24"/>
                <w:szCs w:val="24"/>
              </w:rPr>
              <w:t>采取</w:t>
            </w:r>
            <w:r>
              <w:rPr>
                <w:rFonts w:hint="default" w:ascii="Times New Roman" w:hAnsi="Times New Roman" w:cs="Times New Roman"/>
                <w:color w:val="auto"/>
                <w:sz w:val="24"/>
                <w:szCs w:val="24"/>
                <w:lang w:val="en-US" w:eastAsia="zh-CN"/>
              </w:rPr>
              <w:t>输送传送带封闭设置</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运输车辆装卸区设置遮挡设施，清选工艺采用封闭式清理筛，可使颗粒物无组织排放量减少90%。</w:t>
            </w:r>
            <w:r>
              <w:rPr>
                <w:rFonts w:hint="eastAsia" w:ascii="Times New Roman" w:hAnsi="Times New Roman" w:cs="Times New Roman"/>
                <w:color w:val="auto"/>
                <w:sz w:val="24"/>
                <w:szCs w:val="24"/>
                <w:lang w:val="en-US" w:eastAsia="zh-CN"/>
              </w:rPr>
              <w:t>烘干塔体两侧排气孔设置折流挡板，有效控制杂质及大粒径粉尘的排放。</w:t>
            </w:r>
            <w:r>
              <w:rPr>
                <w:rFonts w:hint="default" w:ascii="Times New Roman" w:hAnsi="Times New Roman" w:cs="Times New Roman"/>
                <w:color w:val="auto"/>
                <w:sz w:val="24"/>
                <w:szCs w:val="24"/>
                <w:lang w:val="en-US" w:eastAsia="zh-CN"/>
              </w:rPr>
              <w:t>上述大气污染防治措施均为</w:t>
            </w:r>
            <w:r>
              <w:rPr>
                <w:rFonts w:hint="default" w:ascii="Times New Roman" w:hAnsi="Times New Roman" w:eastAsia="宋体" w:cs="Times New Roman"/>
                <w:bCs/>
                <w:color w:val="auto"/>
                <w:spacing w:val="-10"/>
                <w:sz w:val="24"/>
                <w:szCs w:val="24"/>
                <w:lang w:val="en-US" w:eastAsia="zh-CN"/>
              </w:rPr>
              <w:t>《逸散性工业粉尘控制技术（中国环境科学出版社）》中推荐的治理措施，为比较常见的、应用广泛且技术相对成熟的无组织废气治理措施。对照《排污许可证申请与核发技术规范 工业炉窑》</w:t>
            </w:r>
            <w:r>
              <w:rPr>
                <w:rFonts w:hint="eastAsia"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HJ1121-2020</w:t>
            </w:r>
            <w:r>
              <w:rPr>
                <w:rFonts w:hint="eastAsia" w:cs="Times New Roman"/>
                <w:bCs/>
                <w:color w:val="auto"/>
                <w:spacing w:val="-10"/>
                <w:sz w:val="24"/>
                <w:szCs w:val="24"/>
                <w:lang w:val="en-US" w:eastAsia="zh-CN"/>
              </w:rPr>
              <w:t>）</w:t>
            </w:r>
            <w:r>
              <w:rPr>
                <w:rFonts w:hint="eastAsia" w:ascii="Times New Roman" w:hAnsi="Times New Roman" w:eastAsia="宋体" w:cs="Times New Roman"/>
                <w:bCs/>
                <w:color w:val="auto"/>
                <w:spacing w:val="-10"/>
                <w:sz w:val="24"/>
                <w:szCs w:val="24"/>
                <w:lang w:val="en-US" w:eastAsia="zh-CN"/>
              </w:rPr>
              <w:t>，本项目灰渣仓、燃料库、仓储库均为封闭结构，物料储存，输送采取密闭措施为可行性技术</w:t>
            </w:r>
            <w:r>
              <w:rPr>
                <w:rFonts w:hint="eastAsia" w:cs="Times New Roman"/>
                <w:bCs/>
                <w:color w:val="auto"/>
                <w:spacing w:val="-10"/>
                <w:sz w:val="24"/>
                <w:szCs w:val="24"/>
                <w:lang w:val="en-US" w:eastAsia="zh-CN"/>
              </w:rPr>
              <w:t>。</w:t>
            </w:r>
            <w:r>
              <w:rPr>
                <w:rFonts w:hint="eastAsia" w:ascii="Times New Roman" w:hAnsi="Times New Roman" w:eastAsia="宋体" w:cs="Times New Roman"/>
                <w:bCs/>
                <w:color w:val="auto"/>
                <w:spacing w:val="-10"/>
                <w:sz w:val="24"/>
                <w:szCs w:val="24"/>
                <w:lang w:val="en-US" w:eastAsia="zh-CN"/>
              </w:rPr>
              <w:t>本项目输送带封闭，装卸区设置遮挡，烘干塔两侧设置遮挡，为可行性技术。</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本项目热风炉</w:t>
            </w:r>
            <w:r>
              <w:rPr>
                <w:rFonts w:hint="eastAsia" w:cs="Times New Roman"/>
                <w:bCs/>
                <w:color w:val="auto"/>
                <w:spacing w:val="-10"/>
                <w:sz w:val="24"/>
                <w:szCs w:val="24"/>
                <w:lang w:val="en-US" w:eastAsia="zh-CN"/>
              </w:rPr>
              <w:t>采用低氮燃烧技术，配备</w:t>
            </w:r>
            <w:r>
              <w:rPr>
                <w:rFonts w:hint="default" w:ascii="Times New Roman" w:hAnsi="Times New Roman" w:eastAsia="宋体" w:cs="Times New Roman"/>
                <w:bCs/>
                <w:color w:val="auto"/>
                <w:spacing w:val="-10"/>
                <w:sz w:val="24"/>
                <w:szCs w:val="24"/>
                <w:lang w:val="en-US" w:eastAsia="zh-CN"/>
              </w:rPr>
              <w:t>1台布袋除尘器，热风炉烟气经布袋除尘器净化处理后由15m高烟囱排放。热风炉燃用生物质压块燃料，燃料中含硫量较低，烟气中二氧化硫浓度较低，因此，本项目未设置脱硫设施。本项目的特点为窑炉设施规模较小、烟气中颗粒物浓度较高，袋式除尘除尘效率高，且适用于小型规模窑炉设施，为本项目最佳窑炉烟气除尘技术选择。</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（3）排放口基本信息</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本项目排放口情况见下表：</w:t>
            </w:r>
          </w:p>
          <w:p>
            <w:pPr>
              <w:pStyle w:val="80"/>
              <w:adjustRightInd/>
              <w:snapToGrid/>
              <w:spacing w:line="240" w:lineRule="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表4-4排气口基本情况一览表</w:t>
            </w:r>
          </w:p>
          <w:tbl>
            <w:tblPr>
              <w:tblStyle w:val="31"/>
              <w:tblW w:w="8665"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6"/>
              <w:gridCol w:w="879"/>
              <w:gridCol w:w="948"/>
              <w:gridCol w:w="953"/>
              <w:gridCol w:w="862"/>
              <w:gridCol w:w="862"/>
              <w:gridCol w:w="862"/>
              <w:gridCol w:w="862"/>
              <w:gridCol w:w="862"/>
              <w:gridCol w:w="86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06"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编号</w:t>
                  </w:r>
                </w:p>
              </w:tc>
              <w:tc>
                <w:tcPr>
                  <w:tcW w:w="879"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名称</w:t>
                  </w:r>
                </w:p>
              </w:tc>
              <w:tc>
                <w:tcPr>
                  <w:tcW w:w="1901"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排气筒底部中心坐标</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排气筒高度（m）</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排气筒出口</w:t>
                  </w:r>
                  <w:r>
                    <w:rPr>
                      <w:rFonts w:hint="eastAsia" w:cs="Times New Roman"/>
                      <w:b w:val="0"/>
                      <w:bCs w:val="0"/>
                      <w:i w:val="0"/>
                      <w:iCs w:val="0"/>
                      <w:color w:val="auto"/>
                      <w:spacing w:val="0"/>
                      <w:kern w:val="0"/>
                      <w:sz w:val="21"/>
                      <w:szCs w:val="21"/>
                      <w:lang w:val="en-US" w:eastAsia="zh-CN"/>
                    </w:rPr>
                    <w:t>内径</w:t>
                  </w:r>
                  <w:r>
                    <w:rPr>
                      <w:rFonts w:hint="default" w:ascii="Times New Roman" w:hAnsi="Times New Roman" w:eastAsia="宋体" w:cs="Times New Roman"/>
                      <w:b w:val="0"/>
                      <w:bCs w:val="0"/>
                      <w:i w:val="0"/>
                      <w:iCs w:val="0"/>
                      <w:color w:val="auto"/>
                      <w:spacing w:val="0"/>
                      <w:kern w:val="0"/>
                      <w:sz w:val="21"/>
                      <w:szCs w:val="21"/>
                      <w:lang w:val="en-US" w:eastAsia="zh-CN"/>
                    </w:rPr>
                    <w:t>（m）</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烟气流速（m/s）</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烟气温度（℃）</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r>
                    <w:rPr>
                      <w:rFonts w:hint="default" w:ascii="Times New Roman" w:hAnsi="Times New Roman" w:eastAsia="宋体" w:cs="Times New Roman"/>
                      <w:b w:val="0"/>
                      <w:bCs w:val="0"/>
                      <w:i w:val="0"/>
                      <w:iCs w:val="0"/>
                      <w:color w:val="auto"/>
                      <w:spacing w:val="0"/>
                      <w:kern w:val="0"/>
                      <w:sz w:val="21"/>
                      <w:szCs w:val="21"/>
                      <w:lang w:val="en-US" w:eastAsia="zh-CN"/>
                    </w:rPr>
                    <w:t>年排放小时数（h）</w:t>
                  </w:r>
                </w:p>
              </w:tc>
              <w:tc>
                <w:tcPr>
                  <w:tcW w:w="869"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排放工况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06"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7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94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经度</w:t>
                  </w:r>
                </w:p>
              </w:tc>
              <w:tc>
                <w:tcPr>
                  <w:tcW w:w="95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纬度</w:t>
                  </w: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22" w:hRule="atLeast"/>
              </w:trPr>
              <w:tc>
                <w:tcPr>
                  <w:tcW w:w="70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DA</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001</w:t>
                  </w:r>
                </w:p>
              </w:tc>
              <w:tc>
                <w:tcPr>
                  <w:tcW w:w="8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热风炉烟囱</w:t>
                  </w:r>
                </w:p>
              </w:tc>
              <w:tc>
                <w:tcPr>
                  <w:tcW w:w="94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rPr>
                    <w:t>130.07250577</w:t>
                  </w:r>
                </w:p>
              </w:tc>
              <w:tc>
                <w:tcPr>
                  <w:tcW w:w="95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rPr>
                    <w:t>48.89053806</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15</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0.4</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22.87</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8</w:t>
                  </w:r>
                  <w:r>
                    <w:rPr>
                      <w:rFonts w:hint="default" w:ascii="Times New Roman" w:hAnsi="Times New Roman" w:eastAsia="宋体" w:cs="Times New Roman"/>
                      <w:b w:val="0"/>
                      <w:bCs w:val="0"/>
                      <w:i w:val="0"/>
                      <w:iCs w:val="0"/>
                      <w:color w:val="auto"/>
                      <w:spacing w:val="0"/>
                      <w:kern w:val="0"/>
                      <w:sz w:val="21"/>
                      <w:szCs w:val="21"/>
                      <w:lang w:val="en-US" w:eastAsia="zh-CN"/>
                    </w:rPr>
                    <w:t>5</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720</w:t>
                  </w:r>
                </w:p>
              </w:tc>
              <w:tc>
                <w:tcPr>
                  <w:tcW w:w="8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正常</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highlight w:val="none"/>
                <w:u w:val="none" w:color="000000"/>
                <w:lang w:val="en-US" w:eastAsia="zh-CN" w:bidi="ar-SA"/>
              </w:rPr>
            </w:pPr>
            <w:r>
              <w:rPr>
                <w:rFonts w:hint="eastAsia" w:ascii="Times New Roman" w:hAnsi="Times New Roman" w:eastAsia="宋体" w:cs="Times New Roman"/>
                <w:color w:val="auto"/>
                <w:kern w:val="0"/>
                <w:sz w:val="24"/>
                <w:szCs w:val="24"/>
                <w:highlight w:val="none"/>
                <w:u w:val="none" w:color="000000"/>
                <w:lang w:val="en-US" w:eastAsia="zh-CN" w:bidi="ar-SA"/>
              </w:rPr>
              <w:t>项目排气筒高度设置合理性分析：</w:t>
            </w:r>
          </w:p>
          <w:p>
            <w:pPr>
              <w:adjustRightInd w:val="0"/>
              <w:snapToGrid w:val="0"/>
              <w:spacing w:line="360" w:lineRule="auto"/>
              <w:ind w:firstLine="480" w:firstLineChars="200"/>
              <w:rPr>
                <w:rFonts w:hint="default"/>
                <w:color w:val="auto"/>
                <w:lang w:val="en-US" w:eastAsia="zh-CN"/>
              </w:rPr>
            </w:pPr>
            <w:r>
              <w:rPr>
                <w:rFonts w:hint="eastAsia" w:ascii="Times New Roman" w:hAnsi="Times New Roman" w:eastAsia="宋体" w:cs="Times New Roman"/>
                <w:color w:val="auto"/>
                <w:kern w:val="0"/>
                <w:sz w:val="24"/>
                <w:szCs w:val="24"/>
                <w:highlight w:val="none"/>
                <w:u w:val="none" w:color="000000"/>
                <w:lang w:val="en-US" w:eastAsia="zh-CN" w:bidi="ar-SA"/>
              </w:rPr>
              <w:t>根据</w:t>
            </w:r>
            <w:r>
              <w:rPr>
                <w:rFonts w:hint="default" w:ascii="Times New Roman" w:hAnsi="Times New Roman" w:eastAsia="宋体" w:cs="Times New Roman"/>
                <w:color w:val="auto"/>
                <w:kern w:val="0"/>
                <w:sz w:val="24"/>
                <w:szCs w:val="24"/>
                <w:highlight w:val="none"/>
                <w:u w:val="none" w:color="000000"/>
                <w:lang w:val="en-US" w:eastAsia="zh-CN" w:bidi="ar-SA"/>
              </w:rPr>
              <w:t>《工业炉窑大气污染物排放标准》（GB9078-1996）</w:t>
            </w:r>
            <w:r>
              <w:rPr>
                <w:rFonts w:hint="eastAsia" w:ascii="Times New Roman" w:hAnsi="Times New Roman" w:eastAsia="宋体" w:cs="Times New Roman"/>
                <w:color w:val="auto"/>
                <w:kern w:val="0"/>
                <w:sz w:val="24"/>
                <w:szCs w:val="24"/>
                <w:highlight w:val="none"/>
                <w:u w:val="none" w:color="000000"/>
                <w:lang w:val="en-US" w:eastAsia="zh-CN" w:bidi="ar-SA"/>
              </w:rPr>
              <w:t>要求，工业炉窑烟囱最低允许高度为15m，当烟囱</w:t>
            </w:r>
            <w:r>
              <w:rPr>
                <w:rFonts w:hint="eastAsia" w:cs="Times New Roman"/>
                <w:color w:val="auto"/>
                <w:kern w:val="0"/>
                <w:sz w:val="24"/>
                <w:szCs w:val="24"/>
                <w:highlight w:val="none"/>
                <w:u w:val="none" w:color="000000"/>
                <w:lang w:val="en-US" w:eastAsia="zh-CN" w:bidi="ar-SA"/>
              </w:rPr>
              <w:t>（或排气筒）</w:t>
            </w:r>
            <w:r>
              <w:rPr>
                <w:rFonts w:hint="eastAsia" w:ascii="Times New Roman" w:hAnsi="Times New Roman" w:eastAsia="宋体" w:cs="Times New Roman"/>
                <w:color w:val="auto"/>
                <w:kern w:val="0"/>
                <w:sz w:val="24"/>
                <w:szCs w:val="24"/>
                <w:highlight w:val="none"/>
                <w:u w:val="none" w:color="000000"/>
                <w:lang w:val="en-US" w:eastAsia="zh-CN" w:bidi="ar-SA"/>
              </w:rPr>
              <w:t>周围半径200m距离内有建筑物时，应高出最高建筑物3m以上</w:t>
            </w:r>
            <w:r>
              <w:rPr>
                <w:rFonts w:hint="eastAsia" w:cs="Times New Roman"/>
                <w:color w:val="auto"/>
                <w:kern w:val="0"/>
                <w:sz w:val="24"/>
                <w:szCs w:val="24"/>
                <w:highlight w:val="none"/>
                <w:u w:val="none" w:color="000000"/>
                <w:lang w:val="en-US" w:eastAsia="zh-CN" w:bidi="ar-SA"/>
              </w:rPr>
              <w:t>。</w:t>
            </w:r>
            <w:r>
              <w:rPr>
                <w:rFonts w:hint="eastAsia" w:ascii="Times New Roman" w:hAnsi="Times New Roman" w:eastAsia="宋体" w:cs="Times New Roman"/>
                <w:color w:val="auto"/>
                <w:kern w:val="0"/>
                <w:sz w:val="24"/>
                <w:szCs w:val="24"/>
                <w:highlight w:val="none"/>
                <w:u w:val="none" w:color="000000"/>
                <w:lang w:val="en-US" w:eastAsia="zh-CN" w:bidi="ar-SA"/>
              </w:rPr>
              <w:t>本项目排气筒高度15m，周边200米范围内无12m以上建筑，因此本项目符合排气筒设置规范。</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（4）排放标准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auto"/>
                <w:spacing w:val="-10"/>
                <w:szCs w:val="21"/>
                <w:lang w:val="en-US" w:eastAsia="zh-CN"/>
              </w:rPr>
            </w:pPr>
            <w:r>
              <w:rPr>
                <w:rFonts w:hint="default" w:ascii="Times New Roman" w:hAnsi="Times New Roman" w:eastAsia="宋体" w:cs="Times New Roman"/>
                <w:color w:val="auto"/>
                <w:sz w:val="24"/>
                <w:szCs w:val="24"/>
                <w:lang w:val="en-US" w:eastAsia="zh-CN"/>
              </w:rPr>
              <w:t>本项目运营期颗粒物无组织排放执行《大气污染物综合排放标准》（GB16297-1996）表2中无组织排放浓度监控限值要求</w:t>
            </w:r>
            <w:r>
              <w:rPr>
                <w:rFonts w:hint="eastAsia" w:cs="Times New Roman"/>
                <w:color w:val="auto"/>
                <w:sz w:val="24"/>
                <w:szCs w:val="24"/>
                <w:lang w:val="en-US" w:eastAsia="zh-CN"/>
              </w:rPr>
              <w:t>，工业炉窑周边无组织废气执行</w:t>
            </w:r>
            <w:r>
              <w:rPr>
                <w:rFonts w:hint="default" w:ascii="Times New Roman" w:hAnsi="Times New Roman" w:eastAsia="宋体" w:cs="Times New Roman"/>
                <w:color w:val="auto"/>
                <w:sz w:val="24"/>
                <w:szCs w:val="24"/>
                <w:lang w:val="en-US" w:eastAsia="zh-CN"/>
              </w:rPr>
              <w:t>《工业炉窑大气污染物排放标准》（GB9078-1996）中</w:t>
            </w:r>
            <w:r>
              <w:rPr>
                <w:rFonts w:hint="eastAsia" w:ascii="Times New Roman" w:hAnsi="Times New Roman" w:eastAsia="宋体" w:cs="Times New Roman"/>
                <w:color w:val="auto"/>
                <w:sz w:val="24"/>
                <w:szCs w:val="24"/>
                <w:lang w:val="en-US" w:eastAsia="zh-CN"/>
              </w:rPr>
              <w:t>表3排放标准，</w:t>
            </w:r>
            <w:r>
              <w:rPr>
                <w:rFonts w:hint="default" w:ascii="Times New Roman" w:hAnsi="Times New Roman" w:eastAsia="宋体" w:cs="Times New Roman"/>
                <w:color w:val="auto"/>
                <w:sz w:val="24"/>
                <w:szCs w:val="24"/>
                <w:lang w:val="en-US" w:eastAsia="zh-CN"/>
              </w:rPr>
              <w:t>热风炉烟气中颗粒物、烟气黑度、二氧化硫有组织排放执行《工业炉窑大气污染物排放标准》（GB9078-1996）中表2和表4二级标准</w:t>
            </w:r>
            <w:r>
              <w:rPr>
                <w:rFonts w:hint="default" w:ascii="Times New Roman" w:hAnsi="Times New Roman" w:eastAsia="宋体" w:cs="Times New Roman"/>
                <w:color w:val="auto"/>
                <w:lang w:val="en-US" w:eastAsia="zh-CN"/>
              </w:rPr>
              <w:t>。</w:t>
            </w:r>
          </w:p>
          <w:p>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监测要求</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Cs/>
                <w:color w:val="auto"/>
                <w:spacing w:val="-10"/>
                <w:sz w:val="24"/>
                <w:szCs w:val="24"/>
                <w:lang w:val="en-US" w:eastAsia="zh-CN"/>
              </w:rPr>
              <w:t>本项目运营期大气污染源监测要求对照</w:t>
            </w:r>
            <w:r>
              <w:rPr>
                <w:rFonts w:hint="eastAsia" w:ascii="Times New Roman" w:hAnsi="Times New Roman" w:eastAsia="宋体" w:cs="Times New Roman"/>
                <w:bCs/>
                <w:color w:val="auto"/>
                <w:spacing w:val="-10"/>
                <w:sz w:val="24"/>
                <w:szCs w:val="24"/>
                <w:lang w:val="en-US" w:eastAsia="zh-CN"/>
              </w:rPr>
              <w:t>《排污单位自行监测技术指南 总则》（HJ 819-2017）、</w:t>
            </w:r>
            <w:r>
              <w:rPr>
                <w:rFonts w:hint="default" w:ascii="Times New Roman" w:hAnsi="Times New Roman" w:eastAsia="宋体" w:cs="Times New Roman"/>
                <w:bCs/>
                <w:color w:val="auto"/>
                <w:spacing w:val="-10"/>
                <w:sz w:val="24"/>
                <w:szCs w:val="24"/>
                <w:lang w:val="en-US" w:eastAsia="zh-CN"/>
              </w:rPr>
              <w:t>《排污许可证申请与核发技术规范 工业窑炉》（HJ1121-2020）</w:t>
            </w:r>
            <w:r>
              <w:rPr>
                <w:rFonts w:hint="eastAsia" w:ascii="Times New Roman" w:hAnsi="Times New Roman" w:eastAsia="宋体" w:cs="Times New Roman"/>
                <w:bCs/>
                <w:color w:val="auto"/>
                <w:spacing w:val="-10"/>
                <w:sz w:val="24"/>
                <w:szCs w:val="24"/>
                <w:lang w:val="en-US" w:eastAsia="zh-CN"/>
              </w:rPr>
              <w:t>、《</w:t>
            </w:r>
            <w:r>
              <w:rPr>
                <w:rFonts w:hint="eastAsia" w:ascii="Times New Roman" w:hAnsi="Times New Roman" w:eastAsia="宋体" w:cs="Times New Roman"/>
                <w:bCs/>
                <w:color w:val="auto"/>
                <w:spacing w:val="-10"/>
                <w:sz w:val="24"/>
                <w:szCs w:val="24"/>
                <w:lang w:val="en-US" w:eastAsia="zh-CN"/>
              </w:rPr>
              <w:fldChar w:fldCharType="begin"/>
            </w:r>
            <w:r>
              <w:rPr>
                <w:rFonts w:hint="eastAsia" w:ascii="Times New Roman" w:hAnsi="Times New Roman" w:eastAsia="宋体" w:cs="Times New Roman"/>
                <w:bCs/>
                <w:color w:val="auto"/>
                <w:spacing w:val="-10"/>
                <w:sz w:val="24"/>
                <w:szCs w:val="24"/>
                <w:lang w:val="en-US" w:eastAsia="zh-CN"/>
              </w:rPr>
              <w:instrText xml:space="preserve"> HYPERLINK "http://kjs.mep.gov.cn/hjbhbz/bzwb/shjbh/xgbzh/201705/W020170511332490849000.pdf" </w:instrText>
            </w:r>
            <w:r>
              <w:rPr>
                <w:rFonts w:hint="eastAsia" w:ascii="Times New Roman" w:hAnsi="Times New Roman" w:eastAsia="宋体" w:cs="Times New Roman"/>
                <w:bCs/>
                <w:color w:val="auto"/>
                <w:spacing w:val="-10"/>
                <w:sz w:val="24"/>
                <w:szCs w:val="24"/>
                <w:lang w:val="en-US" w:eastAsia="zh-CN"/>
              </w:rPr>
              <w:fldChar w:fldCharType="separate"/>
            </w:r>
            <w:r>
              <w:rPr>
                <w:rFonts w:hint="eastAsia" w:ascii="Times New Roman" w:hAnsi="Times New Roman" w:eastAsia="宋体" w:cs="Times New Roman"/>
                <w:bCs/>
                <w:color w:val="auto"/>
                <w:spacing w:val="-10"/>
                <w:sz w:val="24"/>
                <w:szCs w:val="24"/>
                <w:lang w:val="en-US" w:eastAsia="zh-CN"/>
              </w:rPr>
              <w:t>排污单位自行监测技术指南 农副食品加工业》（HJ986-2018）</w:t>
            </w:r>
            <w:r>
              <w:rPr>
                <w:rFonts w:hint="eastAsia" w:ascii="Times New Roman" w:hAnsi="Times New Roman" w:eastAsia="宋体" w:cs="Times New Roman"/>
                <w:bCs/>
                <w:color w:val="auto"/>
                <w:spacing w:val="-10"/>
                <w:sz w:val="24"/>
                <w:szCs w:val="24"/>
                <w:lang w:val="en-US" w:eastAsia="zh-CN"/>
              </w:rPr>
              <w:fldChar w:fldCharType="end"/>
            </w:r>
            <w:r>
              <w:rPr>
                <w:rFonts w:hint="default" w:ascii="Times New Roman" w:hAnsi="Times New Roman" w:eastAsia="宋体" w:cs="Times New Roman"/>
                <w:bCs/>
                <w:color w:val="auto"/>
                <w:spacing w:val="-10"/>
                <w:sz w:val="24"/>
                <w:szCs w:val="24"/>
                <w:lang w:val="en-US" w:eastAsia="zh-CN"/>
              </w:rPr>
              <w:t>中“5.4 自行监测管理要求”执行。</w:t>
            </w:r>
          </w:p>
          <w:p>
            <w:pPr>
              <w:pStyle w:val="80"/>
              <w:adjustRightInd/>
              <w:snapToGrid/>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表4-5大气污染源监测要求信息表</w:t>
            </w:r>
          </w:p>
          <w:tbl>
            <w:tblPr>
              <w:tblStyle w:val="30"/>
              <w:tblW w:w="8663"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65"/>
              <w:gridCol w:w="1924"/>
              <w:gridCol w:w="3362"/>
              <w:gridCol w:w="121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2165" w:type="dxa"/>
                  <w:vMerge w:val="restart"/>
                  <w:tcBorders>
                    <w:tl2br w:val="nil"/>
                    <w:tr2bl w:val="nil"/>
                  </w:tcBorders>
                  <w:noWrap w:val="0"/>
                  <w:vAlign w:val="center"/>
                </w:tcPr>
                <w:p>
                  <w:pPr>
                    <w:pStyle w:val="2"/>
                    <w:keepNext w:val="0"/>
                    <w:keepLines w:val="0"/>
                    <w:pageBreakBefore w:val="0"/>
                    <w:widowControl w:val="0"/>
                    <w:tabs>
                      <w:tab w:val="right" w:leader="dot" w:pos="8495"/>
                    </w:tabs>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污染源名称</w:t>
                  </w:r>
                </w:p>
              </w:tc>
              <w:tc>
                <w:tcPr>
                  <w:tcW w:w="1924" w:type="dxa"/>
                  <w:vMerge w:val="restart"/>
                  <w:tcBorders>
                    <w:tl2br w:val="nil"/>
                    <w:tr2bl w:val="nil"/>
                  </w:tcBorders>
                  <w:noWrap w:val="0"/>
                  <w:vAlign w:val="center"/>
                </w:tcPr>
                <w:p>
                  <w:pPr>
                    <w:pStyle w:val="2"/>
                    <w:keepNext w:val="0"/>
                    <w:keepLines w:val="0"/>
                    <w:pageBreakBefore w:val="0"/>
                    <w:widowControl w:val="0"/>
                    <w:tabs>
                      <w:tab w:val="right" w:leader="dot" w:pos="8495"/>
                    </w:tabs>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监测点位</w:t>
                  </w:r>
                </w:p>
              </w:tc>
              <w:tc>
                <w:tcPr>
                  <w:tcW w:w="3362" w:type="dxa"/>
                  <w:vMerge w:val="restart"/>
                  <w:tcBorders>
                    <w:tl2br w:val="nil"/>
                    <w:tr2bl w:val="nil"/>
                  </w:tcBorders>
                  <w:noWrap w:val="0"/>
                  <w:vAlign w:val="center"/>
                </w:tcPr>
                <w:p>
                  <w:pPr>
                    <w:pStyle w:val="2"/>
                    <w:keepNext w:val="0"/>
                    <w:keepLines w:val="0"/>
                    <w:pageBreakBefore w:val="0"/>
                    <w:widowControl w:val="0"/>
                    <w:tabs>
                      <w:tab w:val="right" w:leader="dot" w:pos="8495"/>
                    </w:tabs>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监测因子</w:t>
                  </w:r>
                </w:p>
              </w:tc>
              <w:tc>
                <w:tcPr>
                  <w:tcW w:w="1212" w:type="dxa"/>
                  <w:vMerge w:val="restart"/>
                  <w:tcBorders>
                    <w:tl2br w:val="nil"/>
                    <w:tr2bl w:val="nil"/>
                  </w:tcBorders>
                  <w:noWrap w:val="0"/>
                  <w:vAlign w:val="center"/>
                </w:tcPr>
                <w:p>
                  <w:pPr>
                    <w:pStyle w:val="2"/>
                    <w:keepNext w:val="0"/>
                    <w:keepLines w:val="0"/>
                    <w:pageBreakBefore w:val="0"/>
                    <w:widowControl w:val="0"/>
                    <w:tabs>
                      <w:tab w:val="right" w:leader="dot" w:pos="8495"/>
                    </w:tabs>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监测频次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2165"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1924"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3362"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1212"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2165" w:type="dxa"/>
                  <w:vMerge w:val="restart"/>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DA001</w:t>
                  </w:r>
                </w:p>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热风炉烟囱</w:t>
                  </w:r>
                </w:p>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（有组织排放源）</w:t>
                  </w:r>
                </w:p>
              </w:tc>
              <w:tc>
                <w:tcPr>
                  <w:tcW w:w="1924" w:type="dxa"/>
                  <w:vMerge w:val="restart"/>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烟囱预留监测孔</w:t>
                  </w:r>
                </w:p>
              </w:tc>
              <w:tc>
                <w:tcPr>
                  <w:tcW w:w="336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颗粒物、二氧化硫</w:t>
                  </w:r>
                </w:p>
              </w:tc>
              <w:tc>
                <w:tcPr>
                  <w:tcW w:w="121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每年运行期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10" w:hRule="atLeast"/>
                <w:jc w:val="center"/>
              </w:trPr>
              <w:tc>
                <w:tcPr>
                  <w:tcW w:w="2165"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1924"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336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氮氧化物</w:t>
                  </w:r>
                </w:p>
              </w:tc>
              <w:tc>
                <w:tcPr>
                  <w:tcW w:w="1212" w:type="dxa"/>
                  <w:tcBorders>
                    <w:tl2br w:val="nil"/>
                    <w:tr2bl w:val="nil"/>
                  </w:tcBorders>
                  <w:noWrap w:val="0"/>
                  <w:vAlign w:val="center"/>
                </w:tcPr>
                <w:p>
                  <w:pPr>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每月运行期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10" w:hRule="atLeast"/>
                <w:jc w:val="center"/>
              </w:trPr>
              <w:tc>
                <w:tcPr>
                  <w:tcW w:w="2165"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1924"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eastAsia" w:cs="Times New Roman"/>
                      <w:caps w:val="0"/>
                      <w:snapToGrid w:val="0"/>
                      <w:color w:val="auto"/>
                      <w:kern w:val="0"/>
                      <w:sz w:val="21"/>
                      <w:szCs w:val="21"/>
                      <w:highlight w:val="none"/>
                      <w:lang w:val="en-US" w:eastAsia="zh-CN"/>
                    </w:rPr>
                    <w:t>烟囱出口</w:t>
                  </w:r>
                </w:p>
              </w:tc>
              <w:tc>
                <w:tcPr>
                  <w:tcW w:w="336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烟气黑度</w:t>
                  </w:r>
                </w:p>
              </w:tc>
              <w:tc>
                <w:tcPr>
                  <w:tcW w:w="1212" w:type="dxa"/>
                  <w:tcBorders>
                    <w:tl2br w:val="nil"/>
                    <w:tr2bl w:val="nil"/>
                  </w:tcBorders>
                  <w:noWrap w:val="0"/>
                  <w:vAlign w:val="center"/>
                </w:tcPr>
                <w:p>
                  <w:pPr>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每年运行期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2165"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eastAsia" w:ascii="Times New Roman" w:hAnsi="Times New Roman" w:eastAsia="宋体" w:cs="Times New Roman"/>
                      <w:caps w:val="0"/>
                      <w:snapToGrid w:val="0"/>
                      <w:color w:val="auto"/>
                      <w:kern w:val="0"/>
                      <w:sz w:val="21"/>
                      <w:szCs w:val="21"/>
                      <w:highlight w:val="none"/>
                      <w:lang w:val="en-US" w:eastAsia="zh-CN"/>
                    </w:rPr>
                    <w:t>无组织排放源</w:t>
                  </w:r>
                </w:p>
              </w:tc>
              <w:tc>
                <w:tcPr>
                  <w:tcW w:w="1924"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bCs/>
                      <w:color w:val="auto"/>
                      <w:spacing w:val="-10"/>
                      <w:szCs w:val="21"/>
                      <w:lang w:val="en-US" w:eastAsia="zh-CN"/>
                    </w:rPr>
                    <w:t>厂区各边界（共4个监测点）</w:t>
                  </w:r>
                </w:p>
              </w:tc>
              <w:tc>
                <w:tcPr>
                  <w:tcW w:w="336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颗粒物</w:t>
                  </w:r>
                </w:p>
              </w:tc>
              <w:tc>
                <w:tcPr>
                  <w:tcW w:w="1212" w:type="dxa"/>
                  <w:tcBorders>
                    <w:tl2br w:val="nil"/>
                    <w:tr2bl w:val="nil"/>
                  </w:tcBorders>
                  <w:noWrap w:val="0"/>
                  <w:vAlign w:val="center"/>
                </w:tcPr>
                <w:p>
                  <w:pPr>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每年运行期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2165"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eastAsia" w:cs="Times New Roman"/>
                      <w:caps w:val="0"/>
                      <w:snapToGrid w:val="0"/>
                      <w:color w:val="auto"/>
                      <w:kern w:val="0"/>
                      <w:sz w:val="21"/>
                      <w:szCs w:val="21"/>
                      <w:highlight w:val="none"/>
                      <w:lang w:val="en-US" w:eastAsia="zh-CN"/>
                    </w:rPr>
                    <w:t>工业炉窑周边</w:t>
                  </w:r>
                </w:p>
              </w:tc>
              <w:tc>
                <w:tcPr>
                  <w:tcW w:w="1924"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bCs/>
                      <w:color w:val="auto"/>
                      <w:spacing w:val="-10"/>
                      <w:szCs w:val="21"/>
                      <w:lang w:val="en-US" w:eastAsia="zh-CN"/>
                    </w:rPr>
                  </w:pPr>
                  <w:r>
                    <w:rPr>
                      <w:rFonts w:hint="eastAsia" w:cs="Times New Roman"/>
                      <w:bCs/>
                      <w:color w:val="auto"/>
                      <w:spacing w:val="-10"/>
                      <w:szCs w:val="21"/>
                      <w:lang w:val="en-US" w:eastAsia="zh-CN"/>
                    </w:rPr>
                    <w:t>一个监测点</w:t>
                  </w:r>
                </w:p>
              </w:tc>
              <w:tc>
                <w:tcPr>
                  <w:tcW w:w="336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颗粒物</w:t>
                  </w:r>
                </w:p>
              </w:tc>
              <w:tc>
                <w:tcPr>
                  <w:tcW w:w="1212" w:type="dxa"/>
                  <w:tcBorders>
                    <w:tl2br w:val="nil"/>
                    <w:tr2bl w:val="nil"/>
                  </w:tcBorders>
                  <w:noWrap w:val="0"/>
                  <w:vAlign w:val="center"/>
                </w:tcPr>
                <w:p>
                  <w:pPr>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每年运行期</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（6）达标排放</w:t>
            </w:r>
          </w:p>
          <w:p>
            <w:pPr>
              <w:pStyle w:val="80"/>
              <w:adjustRightInd/>
              <w:snapToGrid/>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表4-6大气污染物有组织</w:t>
            </w:r>
            <w:r>
              <w:rPr>
                <w:rFonts w:hint="eastAsia" w:cs="Times New Roman"/>
                <w:b/>
                <w:bCs/>
                <w:color w:val="auto"/>
                <w:sz w:val="21"/>
                <w:szCs w:val="21"/>
                <w:lang w:val="en-US" w:eastAsia="zh-CN"/>
              </w:rPr>
              <w:t>排放</w:t>
            </w:r>
            <w:r>
              <w:rPr>
                <w:rFonts w:hint="default" w:ascii="Times New Roman" w:hAnsi="Times New Roman" w:cs="Times New Roman"/>
                <w:b/>
                <w:bCs/>
                <w:color w:val="auto"/>
                <w:sz w:val="21"/>
                <w:szCs w:val="21"/>
                <w:lang w:val="en-US" w:eastAsia="zh-CN"/>
              </w:rPr>
              <w:t>达标情况表</w:t>
            </w:r>
          </w:p>
          <w:tbl>
            <w:tblPr>
              <w:tblStyle w:val="31"/>
              <w:tblW w:w="866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1657"/>
              <w:gridCol w:w="1703"/>
              <w:gridCol w:w="3057"/>
              <w:gridCol w:w="72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52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排放源</w:t>
                  </w:r>
                </w:p>
              </w:tc>
              <w:tc>
                <w:tcPr>
                  <w:tcW w:w="1657"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rPr>
                    <w:t>污染</w:t>
                  </w:r>
                  <w:r>
                    <w:rPr>
                      <w:rFonts w:hint="default" w:ascii="Times New Roman" w:hAnsi="Times New Roman" w:eastAsia="宋体" w:cs="Times New Roman"/>
                      <w:b w:val="0"/>
                      <w:bCs w:val="0"/>
                      <w:i w:val="0"/>
                      <w:iCs w:val="0"/>
                      <w:color w:val="auto"/>
                      <w:spacing w:val="0"/>
                      <w:kern w:val="0"/>
                      <w:sz w:val="21"/>
                      <w:szCs w:val="21"/>
                      <w:lang w:eastAsia="zh-CN"/>
                    </w:rPr>
                    <w:t>物</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val="en-US" w:eastAsia="zh-CN"/>
                    </w:rPr>
                    <w:t>污染物排放</w:t>
                  </w:r>
                </w:p>
              </w:tc>
              <w:tc>
                <w:tcPr>
                  <w:tcW w:w="3778"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525"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p>
              </w:tc>
              <w:tc>
                <w:tcPr>
                  <w:tcW w:w="1657"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p>
              </w:tc>
              <w:tc>
                <w:tcPr>
                  <w:tcW w:w="1703" w:type="dxa"/>
                  <w:vMerge w:val="restar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排放</w:t>
                  </w:r>
                  <w:r>
                    <w:rPr>
                      <w:rFonts w:hint="default" w:ascii="Times New Roman" w:hAnsi="Times New Roman" w:eastAsia="宋体" w:cs="Times New Roman"/>
                      <w:b w:val="0"/>
                      <w:bCs w:val="0"/>
                      <w:i w:val="0"/>
                      <w:iCs w:val="0"/>
                      <w:color w:val="auto"/>
                      <w:spacing w:val="0"/>
                      <w:kern w:val="0"/>
                      <w:sz w:val="21"/>
                      <w:szCs w:val="21"/>
                      <w:lang w:val="en-US" w:eastAsia="zh-CN"/>
                    </w:rPr>
                    <w:t>浓度（</w:t>
                  </w:r>
                  <w:r>
                    <w:rPr>
                      <w:rFonts w:hint="default" w:ascii="Times New Roman" w:hAnsi="Times New Roman" w:eastAsia="宋体" w:cs="Times New Roman"/>
                      <w:b w:val="0"/>
                      <w:bCs w:val="0"/>
                      <w:color w:val="auto"/>
                      <w:spacing w:val="0"/>
                      <w:kern w:val="2"/>
                      <w:sz w:val="21"/>
                      <w:szCs w:val="21"/>
                      <w:vertAlign w:val="baseline"/>
                      <w:lang w:val="en-US" w:eastAsia="zh-CN" w:bidi="ar-SA"/>
                    </w:rPr>
                    <w:t>mg/m</w:t>
                  </w:r>
                  <w:r>
                    <w:rPr>
                      <w:rFonts w:hint="default" w:ascii="Times New Roman" w:hAnsi="Times New Roman" w:eastAsia="宋体" w:cs="Times New Roman"/>
                      <w:b w:val="0"/>
                      <w:bCs w:val="0"/>
                      <w:color w:val="auto"/>
                      <w:spacing w:val="0"/>
                      <w:kern w:val="2"/>
                      <w:sz w:val="21"/>
                      <w:szCs w:val="21"/>
                      <w:vertAlign w:val="superscript"/>
                      <w:lang w:val="en-US" w:eastAsia="zh-CN" w:bidi="ar-SA"/>
                    </w:rPr>
                    <w:t>3</w:t>
                  </w: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305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rPr>
                    <w:t>《工业炉窑大气污染物排放标准》（GB9078-1996）</w:t>
                  </w:r>
                </w:p>
              </w:tc>
              <w:tc>
                <w:tcPr>
                  <w:tcW w:w="721"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val="en-US" w:eastAsia="zh-CN"/>
                    </w:rPr>
                    <w:t>是否</w:t>
                  </w:r>
                  <w:r>
                    <w:rPr>
                      <w:rFonts w:hint="default" w:ascii="Times New Roman" w:hAnsi="Times New Roman" w:eastAsia="宋体" w:cs="Times New Roman"/>
                      <w:b w:val="0"/>
                      <w:bCs w:val="0"/>
                      <w:i w:val="0"/>
                      <w:iCs w:val="0"/>
                      <w:color w:val="auto"/>
                      <w:spacing w:val="0"/>
                      <w:sz w:val="21"/>
                      <w:szCs w:val="21"/>
                      <w:vertAlign w:val="baseline"/>
                      <w:lang w:eastAsia="zh-CN"/>
                    </w:rPr>
                    <w:t>达标</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lang w:val="en-US" w:eastAsia="zh-CN"/>
                    </w:rPr>
                    <w:t>排放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trPr>
              <w:tc>
                <w:tcPr>
                  <w:tcW w:w="1525"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p>
              </w:tc>
              <w:tc>
                <w:tcPr>
                  <w:tcW w:w="1657"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p>
              </w:tc>
              <w:tc>
                <w:tcPr>
                  <w:tcW w:w="1703"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0"/>
                      <w:sz w:val="21"/>
                      <w:szCs w:val="21"/>
                      <w:lang w:val="en-US" w:eastAsia="zh-CN" w:bidi="ar-SA"/>
                    </w:rPr>
                  </w:pP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排放限值</w:t>
                  </w:r>
                  <w:r>
                    <w:rPr>
                      <w:rFonts w:hint="default" w:ascii="Times New Roman" w:hAnsi="Times New Roman" w:eastAsia="宋体" w:cs="Times New Roman"/>
                      <w:b w:val="0"/>
                      <w:bCs w:val="0"/>
                      <w:i w:val="0"/>
                      <w:iCs w:val="0"/>
                      <w:color w:val="auto"/>
                      <w:spacing w:val="0"/>
                      <w:kern w:val="0"/>
                      <w:sz w:val="21"/>
                      <w:szCs w:val="21"/>
                      <w:lang w:val="en-US" w:eastAsia="zh-CN"/>
                    </w:rPr>
                    <w:t>（</w:t>
                  </w:r>
                  <w:r>
                    <w:rPr>
                      <w:rFonts w:hint="default" w:ascii="Times New Roman" w:hAnsi="Times New Roman" w:eastAsia="宋体" w:cs="Times New Roman"/>
                      <w:b w:val="0"/>
                      <w:bCs w:val="0"/>
                      <w:color w:val="auto"/>
                      <w:spacing w:val="0"/>
                      <w:kern w:val="2"/>
                      <w:sz w:val="21"/>
                      <w:szCs w:val="21"/>
                      <w:vertAlign w:val="baseline"/>
                      <w:lang w:val="en-US" w:eastAsia="zh-CN" w:bidi="ar-SA"/>
                    </w:rPr>
                    <w:t>mg/m</w:t>
                  </w:r>
                  <w:r>
                    <w:rPr>
                      <w:rFonts w:hint="default" w:ascii="Times New Roman" w:hAnsi="Times New Roman" w:eastAsia="宋体" w:cs="Times New Roman"/>
                      <w:b w:val="0"/>
                      <w:bCs w:val="0"/>
                      <w:color w:val="auto"/>
                      <w:spacing w:val="0"/>
                      <w:kern w:val="2"/>
                      <w:sz w:val="21"/>
                      <w:szCs w:val="21"/>
                      <w:vertAlign w:val="superscript"/>
                      <w:lang w:val="en-US" w:eastAsia="zh-CN" w:bidi="ar-SA"/>
                    </w:rPr>
                    <w:t>3</w:t>
                  </w: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721"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68" w:hRule="atLeast"/>
              </w:trPr>
              <w:tc>
                <w:tcPr>
                  <w:tcW w:w="1525" w:type="dxa"/>
                  <w:vMerge w:val="restar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DA001</w:t>
                  </w:r>
                </w:p>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热风炉烟囱</w:t>
                  </w:r>
                </w:p>
              </w:tc>
              <w:tc>
                <w:tcPr>
                  <w:tcW w:w="16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颗粒物（烟尘）</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137.04</w:t>
                  </w: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200</w:t>
                  </w:r>
                </w:p>
              </w:tc>
              <w:tc>
                <w:tcPr>
                  <w:tcW w:w="721"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25"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p>
              </w:tc>
              <w:tc>
                <w:tcPr>
                  <w:tcW w:w="16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二氧化硫</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ascii="Times New Roman" w:hAnsi="Times New Roman" w:eastAsia="宋体" w:cs="Times New Roman"/>
                      <w:i w:val="0"/>
                      <w:iCs w:val="0"/>
                      <w:color w:val="auto"/>
                      <w:kern w:val="0"/>
                      <w:sz w:val="21"/>
                      <w:szCs w:val="21"/>
                      <w:u w:val="none"/>
                      <w:lang w:val="en-US" w:eastAsia="zh-CN" w:bidi="ar"/>
                    </w:rPr>
                    <w:t>84.588</w:t>
                  </w: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850</w:t>
                  </w:r>
                </w:p>
              </w:tc>
              <w:tc>
                <w:tcPr>
                  <w:tcW w:w="721"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25"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p>
              </w:tc>
              <w:tc>
                <w:tcPr>
                  <w:tcW w:w="16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烟气黑度</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&lt;1级</w:t>
                  </w: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eastAsia" w:cs="Times New Roman"/>
                      <w:b w:val="0"/>
                      <w:bCs w:val="0"/>
                      <w:color w:val="auto"/>
                      <w:spacing w:val="0"/>
                      <w:sz w:val="21"/>
                      <w:szCs w:val="21"/>
                      <w:vertAlign w:val="baseline"/>
                      <w:lang w:val="en-US" w:eastAsia="zh-CN"/>
                    </w:rPr>
                    <w:t>&lt;1级</w:t>
                  </w:r>
                </w:p>
              </w:tc>
              <w:tc>
                <w:tcPr>
                  <w:tcW w:w="721"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25"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p>
              </w:tc>
              <w:tc>
                <w:tcPr>
                  <w:tcW w:w="16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氮氧化物</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126</w:t>
                  </w: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eastAsia" w:cs="Times New Roman"/>
                      <w:b w:val="0"/>
                      <w:bCs w:val="0"/>
                      <w:color w:val="auto"/>
                      <w:spacing w:val="0"/>
                      <w:kern w:val="2"/>
                      <w:sz w:val="21"/>
                      <w:szCs w:val="21"/>
                      <w:vertAlign w:val="baseline"/>
                      <w:lang w:val="en-US" w:eastAsia="zh-CN" w:bidi="ar-SA"/>
                    </w:rPr>
                    <w:t>/</w:t>
                  </w:r>
                </w:p>
              </w:tc>
              <w:tc>
                <w:tcPr>
                  <w:tcW w:w="721"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是</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本项目采取相应</w:t>
            </w:r>
            <w:r>
              <w:rPr>
                <w:rFonts w:hint="default" w:ascii="Times New Roman" w:hAnsi="Times New Roman" w:cs="Times New Roman"/>
                <w:color w:val="auto"/>
                <w:sz w:val="24"/>
                <w:szCs w:val="24"/>
                <w:lang w:val="en-US" w:eastAsia="zh-CN"/>
              </w:rPr>
              <w:t>大气污染防治措施后，可有效降低颗粒物无组织排放量，厂界</w:t>
            </w:r>
            <w:r>
              <w:rPr>
                <w:rFonts w:hint="default" w:ascii="Times New Roman" w:hAnsi="Times New Roman" w:cs="Times New Roman"/>
                <w:color w:val="auto"/>
                <w:kern w:val="0"/>
                <w:sz w:val="24"/>
                <w:szCs w:val="24"/>
                <w:lang w:val="en-US" w:eastAsia="zh-CN"/>
              </w:rPr>
              <w:t>颗粒物无组织排放浓度能够满足</w:t>
            </w:r>
            <w:r>
              <w:rPr>
                <w:rFonts w:hint="default" w:ascii="Times New Roman" w:hAnsi="Times New Roman" w:cs="Times New Roman"/>
                <w:color w:val="auto"/>
                <w:kern w:val="0"/>
                <w:sz w:val="24"/>
                <w:szCs w:val="24"/>
                <w:vertAlign w:val="baseline"/>
                <w:lang w:val="en-US" w:eastAsia="zh-CN"/>
              </w:rPr>
              <w:t>《大气污染物综合排放标准》（GB16297-1996）表2中颗粒物无组织排放监测浓度限值要求。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bCs/>
                <w:color w:val="auto"/>
                <w:spacing w:val="-10"/>
                <w:sz w:val="24"/>
                <w:szCs w:val="24"/>
                <w:lang w:val="en-US" w:eastAsia="zh-CN"/>
              </w:rPr>
              <w:t>本项目热风炉</w:t>
            </w:r>
            <w:r>
              <w:rPr>
                <w:rFonts w:hint="eastAsia" w:cs="Times New Roman"/>
                <w:color w:val="auto"/>
                <w:sz w:val="24"/>
                <w:szCs w:val="24"/>
                <w:highlight w:val="none"/>
                <w:lang w:val="en-US" w:eastAsia="zh-CN"/>
              </w:rPr>
              <w:t>采用低氮燃烧技术，</w:t>
            </w:r>
            <w:r>
              <w:rPr>
                <w:rFonts w:hint="default" w:ascii="Times New Roman" w:hAnsi="Times New Roman" w:eastAsia="宋体" w:cs="Times New Roman"/>
                <w:bCs/>
                <w:color w:val="auto"/>
                <w:spacing w:val="-10"/>
                <w:sz w:val="24"/>
                <w:szCs w:val="24"/>
                <w:lang w:val="en-US" w:eastAsia="zh-CN"/>
              </w:rPr>
              <w:t>烟气经布袋除尘器处理后由15m高烟囱排放，颗粒物排放浓度、</w:t>
            </w:r>
            <w:r>
              <w:rPr>
                <w:rFonts w:hint="default" w:ascii="Times New Roman" w:hAnsi="Times New Roman" w:eastAsia="宋体" w:cs="Times New Roman"/>
                <w:color w:val="auto"/>
                <w:sz w:val="24"/>
                <w:szCs w:val="24"/>
                <w:lang w:val="en-US" w:eastAsia="zh-CN"/>
              </w:rPr>
              <w:t>烟气黑度、</w:t>
            </w:r>
            <w:r>
              <w:rPr>
                <w:rFonts w:hint="default" w:ascii="Times New Roman" w:hAnsi="Times New Roman" w:eastAsia="宋体" w:cs="Times New Roman"/>
                <w:bCs/>
                <w:color w:val="auto"/>
                <w:spacing w:val="-10"/>
                <w:sz w:val="24"/>
                <w:szCs w:val="24"/>
                <w:lang w:val="en-US" w:eastAsia="zh-CN"/>
              </w:rPr>
              <w:t>二氧化硫排放浓度可满足《工业炉窑大气污染物排放标准》（GB9078-1996）表2、表4中标准要求。</w:t>
            </w:r>
            <w:r>
              <w:rPr>
                <w:rFonts w:hint="eastAsia" w:cs="Times New Roman"/>
                <w:color w:val="auto"/>
                <w:sz w:val="24"/>
                <w:szCs w:val="24"/>
                <w:lang w:val="en-US" w:eastAsia="zh-CN"/>
              </w:rPr>
              <w:t>热风炉烟气中的氮氧化物有组织排放执行</w:t>
            </w:r>
            <w:r>
              <w:rPr>
                <w:rFonts w:hint="default" w:ascii="Times New Roman" w:hAnsi="Times New Roman" w:eastAsia="宋体" w:cs="Times New Roman"/>
                <w:bCs/>
                <w:color w:val="auto"/>
                <w:spacing w:val="-10"/>
                <w:sz w:val="24"/>
                <w:szCs w:val="24"/>
                <w:lang w:val="en-US" w:eastAsia="zh-CN"/>
              </w:rPr>
              <w:t>《工业炉窑大气污染物排放标准》（GB9078-1996）</w:t>
            </w:r>
            <w:r>
              <w:rPr>
                <w:rFonts w:hint="eastAsia"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《工业炉窑大气污染物排放标准》（GB9078-1996）</w:t>
            </w:r>
            <w:r>
              <w:rPr>
                <w:rFonts w:hint="eastAsia" w:cs="Times New Roman"/>
                <w:bCs/>
                <w:color w:val="auto"/>
                <w:spacing w:val="-10"/>
                <w:sz w:val="24"/>
                <w:szCs w:val="24"/>
                <w:lang w:val="en-US" w:eastAsia="zh-CN"/>
              </w:rPr>
              <w:t>中无氮氧化物浓度限值</w:t>
            </w:r>
            <w:r>
              <w:rPr>
                <w:rFonts w:hint="eastAsia" w:ascii="Times New Roman" w:hAnsi="Times New Roman" w:eastAsia="宋体"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综上所述，本项目有组织及无组织形式排放的</w:t>
            </w:r>
            <w:r>
              <w:rPr>
                <w:rFonts w:hint="eastAsia" w:cs="Times New Roman"/>
                <w:bCs/>
                <w:color w:val="auto"/>
                <w:spacing w:val="-10"/>
                <w:sz w:val="24"/>
                <w:szCs w:val="24"/>
                <w:lang w:val="en-US" w:eastAsia="zh-CN"/>
              </w:rPr>
              <w:t>废气</w:t>
            </w:r>
            <w:r>
              <w:rPr>
                <w:rFonts w:hint="default" w:ascii="Times New Roman" w:hAnsi="Times New Roman" w:eastAsia="宋体" w:cs="Times New Roman"/>
                <w:bCs/>
                <w:color w:val="auto"/>
                <w:spacing w:val="-10"/>
                <w:sz w:val="24"/>
                <w:szCs w:val="24"/>
                <w:lang w:val="en-US" w:eastAsia="zh-CN"/>
              </w:rPr>
              <w:t>均可达标排放，且排放量较小，不会</w:t>
            </w:r>
            <w:r>
              <w:rPr>
                <w:rFonts w:hint="eastAsia" w:cs="Times New Roman"/>
                <w:bCs/>
                <w:color w:val="auto"/>
                <w:spacing w:val="-10"/>
                <w:sz w:val="24"/>
                <w:szCs w:val="24"/>
                <w:lang w:val="en-US" w:eastAsia="zh-CN"/>
              </w:rPr>
              <w:t>对</w:t>
            </w:r>
            <w:r>
              <w:rPr>
                <w:rFonts w:hint="default" w:ascii="Times New Roman" w:hAnsi="Times New Roman" w:eastAsia="宋体" w:cs="Times New Roman"/>
                <w:bCs/>
                <w:color w:val="auto"/>
                <w:spacing w:val="-10"/>
                <w:sz w:val="24"/>
                <w:szCs w:val="24"/>
                <w:lang w:val="en-US" w:eastAsia="zh-CN"/>
              </w:rPr>
              <w:t>区域环境空气质量</w:t>
            </w:r>
            <w:r>
              <w:rPr>
                <w:rFonts w:hint="eastAsia" w:cs="Times New Roman"/>
                <w:bCs/>
                <w:color w:val="auto"/>
                <w:spacing w:val="-10"/>
                <w:sz w:val="24"/>
                <w:szCs w:val="24"/>
                <w:lang w:val="en-US" w:eastAsia="zh-CN"/>
              </w:rPr>
              <w:t>造成较大影响，</w:t>
            </w:r>
            <w:r>
              <w:rPr>
                <w:rFonts w:hint="default" w:ascii="Times New Roman" w:hAnsi="Times New Roman" w:eastAsia="宋体" w:cs="Times New Roman"/>
                <w:bCs/>
                <w:color w:val="auto"/>
                <w:spacing w:val="-10"/>
                <w:sz w:val="24"/>
                <w:szCs w:val="24"/>
                <w:lang w:val="en-US" w:eastAsia="zh-CN"/>
              </w:rPr>
              <w:t>可被大气环境所接受。</w:t>
            </w:r>
          </w:p>
          <w:p>
            <w:pPr>
              <w:keepNext w:val="0"/>
              <w:keepLines w:val="0"/>
              <w:pageBreakBefore w:val="0"/>
              <w:widowControl w:val="0"/>
              <w:kinsoku/>
              <w:wordWrap/>
              <w:overflowPunct/>
              <w:topLinePunct w:val="0"/>
              <w:autoSpaceDE/>
              <w:autoSpaceDN/>
              <w:bidi w:val="0"/>
              <w:adjustRightInd w:val="0"/>
              <w:snapToGrid w:val="0"/>
              <w:spacing w:line="360" w:lineRule="auto"/>
              <w:ind w:firstLine="382" w:firstLineChars="200"/>
              <w:jc w:val="both"/>
              <w:textAlignment w:val="auto"/>
              <w:rPr>
                <w:rFonts w:hint="default" w:ascii="Times New Roman" w:hAnsi="Times New Roman" w:eastAsia="宋体" w:cs="Times New Roman"/>
                <w:b/>
                <w:bCs w:val="0"/>
                <w:color w:val="auto"/>
                <w:spacing w:val="-10"/>
                <w:szCs w:val="21"/>
                <w:lang w:val="en-US" w:eastAsia="zh-CN"/>
              </w:rPr>
            </w:pPr>
            <w:r>
              <w:rPr>
                <w:rFonts w:hint="default" w:ascii="Times New Roman" w:hAnsi="Times New Roman" w:eastAsia="宋体" w:cs="Times New Roman"/>
                <w:b/>
                <w:bCs w:val="0"/>
                <w:color w:val="auto"/>
                <w:spacing w:val="-10"/>
                <w:szCs w:val="21"/>
                <w:lang w:val="en-US" w:eastAsia="zh-CN"/>
              </w:rPr>
              <w:t>2、废水</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bCs/>
                <w:color w:val="auto"/>
                <w:spacing w:val="-10"/>
                <w:sz w:val="24"/>
                <w:szCs w:val="24"/>
                <w:lang w:val="en-US" w:eastAsia="zh-CN"/>
              </w:rPr>
              <w:t>本项目产生的废水为生活污水</w:t>
            </w:r>
            <w:r>
              <w:rPr>
                <w:rFonts w:hint="eastAsia" w:cs="Times New Roman"/>
                <w:bCs/>
                <w:color w:val="auto"/>
                <w:spacing w:val="-10"/>
                <w:sz w:val="24"/>
                <w:szCs w:val="24"/>
                <w:lang w:val="en-US" w:eastAsia="zh-CN"/>
              </w:rPr>
              <w:t>和初期雨水</w:t>
            </w:r>
            <w:r>
              <w:rPr>
                <w:rFonts w:hint="default" w:ascii="Times New Roman" w:hAnsi="Times New Roman" w:eastAsia="宋体" w:cs="Times New Roman"/>
                <w:bCs/>
                <w:color w:val="auto"/>
                <w:spacing w:val="-10"/>
                <w:sz w:val="24"/>
                <w:szCs w:val="24"/>
                <w:lang w:val="en-US" w:eastAsia="zh-CN"/>
              </w:rPr>
              <w:t>，</w:t>
            </w:r>
            <w:r>
              <w:rPr>
                <w:rFonts w:hint="eastAsia" w:cs="Times New Roman"/>
                <w:bCs/>
                <w:color w:val="auto"/>
                <w:spacing w:val="-10"/>
                <w:sz w:val="24"/>
                <w:szCs w:val="24"/>
                <w:lang w:val="en-US" w:eastAsia="zh-CN"/>
              </w:rPr>
              <w:t>生活污水</w:t>
            </w:r>
            <w:r>
              <w:rPr>
                <w:rFonts w:hint="default" w:ascii="Times New Roman" w:hAnsi="Times New Roman" w:eastAsia="宋体" w:cs="Times New Roman"/>
                <w:bCs/>
                <w:color w:val="auto"/>
                <w:spacing w:val="-10"/>
                <w:sz w:val="24"/>
                <w:szCs w:val="24"/>
                <w:lang w:val="en-US" w:eastAsia="zh-CN"/>
              </w:rPr>
              <w:t>产生量为</w:t>
            </w:r>
            <w:r>
              <w:rPr>
                <w:rFonts w:hint="eastAsia" w:cs="Times New Roman"/>
                <w:bCs/>
                <w:color w:val="auto"/>
                <w:spacing w:val="-10"/>
                <w:sz w:val="24"/>
                <w:szCs w:val="24"/>
                <w:lang w:val="en-US" w:eastAsia="zh-CN"/>
              </w:rPr>
              <w:t>0.64</w:t>
            </w:r>
            <w:r>
              <w:rPr>
                <w:rFonts w:hint="eastAsia" w:cs="Times New Roman"/>
                <w:color w:val="auto"/>
                <w:kern w:val="0"/>
                <w:sz w:val="24"/>
                <w:szCs w:val="24"/>
                <w:highlight w:val="none"/>
                <w:lang w:val="en-US" w:eastAsia="zh-CN"/>
              </w:rPr>
              <w:t>t</w:t>
            </w:r>
            <w:r>
              <w:rPr>
                <w:rFonts w:hint="default" w:ascii="Times New Roman" w:hAnsi="Times New Roman" w:eastAsia="宋体" w:cs="Times New Roman"/>
                <w:color w:val="auto"/>
                <w:kern w:val="0"/>
                <w:sz w:val="24"/>
                <w:szCs w:val="24"/>
                <w:highlight w:val="none"/>
                <w:lang w:val="en-US" w:eastAsia="zh-CN"/>
              </w:rPr>
              <w:t>/d，</w:t>
            </w:r>
            <w:r>
              <w:rPr>
                <w:rFonts w:hint="eastAsia" w:cs="Times New Roman"/>
                <w:color w:val="auto"/>
                <w:kern w:val="0"/>
                <w:sz w:val="24"/>
                <w:szCs w:val="24"/>
                <w:highlight w:val="none"/>
                <w:lang w:val="en-US" w:eastAsia="zh-CN"/>
              </w:rPr>
              <w:t>19.2t</w:t>
            </w:r>
            <w:r>
              <w:rPr>
                <w:rFonts w:hint="default" w:ascii="Times New Roman" w:hAnsi="Times New Roman" w:eastAsia="宋体" w:cs="Times New Roman"/>
                <w:color w:val="auto"/>
                <w:kern w:val="0"/>
                <w:sz w:val="24"/>
                <w:szCs w:val="24"/>
                <w:highlight w:val="none"/>
                <w:lang w:val="en-US" w:eastAsia="zh-CN"/>
              </w:rPr>
              <w:t>/a</w:t>
            </w:r>
            <w:r>
              <w:rPr>
                <w:rFonts w:hint="eastAsia" w:ascii="Times New Roman" w:hAnsi="Times New Roman" w:eastAsia="宋体"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lang w:val="en-US" w:eastAsia="zh-CN"/>
              </w:rPr>
              <w:t>水污染物浓度为COD 300mg/L、BOD</w:t>
            </w:r>
            <w:r>
              <w:rPr>
                <w:rFonts w:hint="default" w:ascii="Times New Roman" w:hAnsi="Times New Roman" w:eastAsia="宋体" w:cs="Times New Roman"/>
                <w:color w:val="auto"/>
                <w:kern w:val="0"/>
                <w:sz w:val="24"/>
                <w:szCs w:val="24"/>
                <w:vertAlign w:val="subscript"/>
                <w:lang w:val="en-US" w:eastAsia="zh-CN"/>
              </w:rPr>
              <w:t>5</w:t>
            </w:r>
            <w:r>
              <w:rPr>
                <w:rFonts w:hint="default" w:ascii="Times New Roman" w:hAnsi="Times New Roman" w:eastAsia="宋体" w:cs="Times New Roman"/>
                <w:color w:val="auto"/>
                <w:kern w:val="0"/>
                <w:sz w:val="24"/>
                <w:szCs w:val="24"/>
                <w:lang w:val="en-US" w:eastAsia="zh-CN"/>
              </w:rPr>
              <w:t xml:space="preserve"> 150mg/L、氨氮 50mg/L、SS 120mg/L，</w:t>
            </w:r>
            <w:r>
              <w:rPr>
                <w:rFonts w:hint="eastAsia" w:ascii="Times New Roman" w:hAnsi="Times New Roman" w:eastAsia="宋体" w:cs="Times New Roman"/>
                <w:color w:val="auto"/>
                <w:kern w:val="0"/>
                <w:sz w:val="24"/>
                <w:szCs w:val="24"/>
                <w:lang w:val="en-US" w:eastAsia="zh-CN"/>
              </w:rPr>
              <w:t>生活污水</w:t>
            </w:r>
            <w:r>
              <w:rPr>
                <w:rFonts w:hint="default" w:ascii="Times New Roman" w:hAnsi="Times New Roman" w:eastAsia="宋体" w:cs="Times New Roman"/>
                <w:color w:val="auto"/>
                <w:kern w:val="0"/>
                <w:sz w:val="24"/>
                <w:szCs w:val="24"/>
                <w:lang w:val="en-US" w:eastAsia="zh-CN"/>
              </w:rPr>
              <w:t>排入厂内防渗旱厕，外运堆肥。</w:t>
            </w:r>
            <w:r>
              <w:rPr>
                <w:rFonts w:hint="eastAsia" w:cs="Times New Roman"/>
                <w:color w:val="auto"/>
                <w:kern w:val="0"/>
                <w:sz w:val="24"/>
                <w:szCs w:val="24"/>
                <w:lang w:val="en-US" w:eastAsia="zh-CN"/>
              </w:rPr>
              <w:t>初期雨水经初期雨水收集池收集后用于灰渣降尘，初期雨水产生量为214t/a，污染物浓度SS120mg/L，</w:t>
            </w:r>
            <w:r>
              <w:rPr>
                <w:rFonts w:hint="default" w:ascii="Times New Roman" w:hAnsi="Times New Roman" w:eastAsia="宋体" w:cs="Times New Roman"/>
                <w:color w:val="auto"/>
                <w:kern w:val="0"/>
                <w:sz w:val="24"/>
                <w:szCs w:val="24"/>
                <w:lang w:val="en-US" w:eastAsia="zh-CN"/>
              </w:rPr>
              <w:t>本项目无废水向地表水环境排放</w:t>
            </w:r>
            <w:r>
              <w:rPr>
                <w:rFonts w:hint="eastAsia" w:ascii="Times New Roman" w:hAnsi="Times New Roman" w:eastAsia="宋体" w:cs="Times New Roman"/>
                <w:color w:val="auto"/>
                <w:kern w:val="0"/>
                <w:sz w:val="24"/>
                <w:szCs w:val="24"/>
                <w:lang w:val="en-US" w:eastAsia="zh-CN"/>
              </w:rPr>
              <w:t>，对外环境影响较小</w:t>
            </w:r>
            <w:r>
              <w:rPr>
                <w:rFonts w:hint="default" w:ascii="Times New Roman" w:hAnsi="Times New Roman" w:eastAsia="宋体" w:cs="Times New Roman"/>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382" w:firstLineChars="200"/>
              <w:jc w:val="both"/>
              <w:textAlignment w:val="auto"/>
              <w:rPr>
                <w:rFonts w:hint="default" w:ascii="Times New Roman" w:hAnsi="Times New Roman" w:eastAsia="宋体" w:cs="Times New Roman"/>
                <w:b/>
                <w:bCs w:val="0"/>
                <w:color w:val="auto"/>
                <w:spacing w:val="-10"/>
                <w:szCs w:val="21"/>
                <w:lang w:val="en-US" w:eastAsia="zh-CN"/>
              </w:rPr>
            </w:pPr>
            <w:r>
              <w:rPr>
                <w:rFonts w:hint="default" w:ascii="Times New Roman" w:hAnsi="Times New Roman" w:eastAsia="宋体" w:cs="Times New Roman"/>
                <w:b/>
                <w:bCs w:val="0"/>
                <w:color w:val="auto"/>
                <w:spacing w:val="-10"/>
                <w:szCs w:val="21"/>
                <w:lang w:val="en-US" w:eastAsia="zh-CN"/>
              </w:rPr>
              <w:t>3、噪声</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（1）源强分析</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cs="Times New Roman"/>
                <w:color w:val="auto"/>
                <w:lang w:val="en-US" w:eastAsia="zh-CN"/>
              </w:rPr>
            </w:pPr>
            <w:r>
              <w:rPr>
                <w:rFonts w:hint="default" w:ascii="Times New Roman" w:hAnsi="Times New Roman" w:eastAsia="宋体" w:cs="Times New Roman"/>
                <w:bCs/>
                <w:color w:val="auto"/>
                <w:spacing w:val="-10"/>
                <w:sz w:val="24"/>
                <w:szCs w:val="24"/>
                <w:lang w:val="en-US" w:eastAsia="zh-CN"/>
              </w:rPr>
              <w:t>本项目噪声主要来源于</w:t>
            </w:r>
            <w:r>
              <w:rPr>
                <w:rFonts w:hint="default" w:ascii="Times New Roman" w:hAnsi="Times New Roman" w:cs="Times New Roman"/>
                <w:color w:val="auto"/>
                <w:sz w:val="24"/>
                <w:szCs w:val="24"/>
                <w:lang w:val="en-US" w:eastAsia="zh-CN"/>
              </w:rPr>
              <w:t>清粮筛分机、输送机、风机、烘干塔等设备，具体噪声源强详见下表。</w:t>
            </w:r>
          </w:p>
          <w:p>
            <w:pPr>
              <w:pStyle w:val="80"/>
              <w:adjustRightInd/>
              <w:snapToGrid/>
              <w:spacing w:line="240" w:lineRule="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表4-7噪声源排放特征及噪声值情况表（室内声源）</w:t>
            </w:r>
          </w:p>
          <w:tbl>
            <w:tblPr>
              <w:tblStyle w:val="30"/>
              <w:tblW w:w="8652"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8"/>
              <w:gridCol w:w="431"/>
              <w:gridCol w:w="431"/>
              <w:gridCol w:w="822"/>
              <w:gridCol w:w="644"/>
              <w:gridCol w:w="431"/>
              <w:gridCol w:w="475"/>
              <w:gridCol w:w="247"/>
              <w:gridCol w:w="699"/>
              <w:gridCol w:w="822"/>
              <w:gridCol w:w="468"/>
              <w:gridCol w:w="822"/>
              <w:gridCol w:w="822"/>
              <w:gridCol w:w="431"/>
              <w:gridCol w:w="67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428"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序号</w:t>
                  </w:r>
                </w:p>
              </w:tc>
              <w:tc>
                <w:tcPr>
                  <w:tcW w:w="431"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建筑物名称</w:t>
                  </w:r>
                </w:p>
              </w:tc>
              <w:tc>
                <w:tcPr>
                  <w:tcW w:w="431"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声源名称</w:t>
                  </w:r>
                </w:p>
              </w:tc>
              <w:tc>
                <w:tcPr>
                  <w:tcW w:w="822"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声源源强/dB(A)</w:t>
                  </w:r>
                </w:p>
              </w:tc>
              <w:tc>
                <w:tcPr>
                  <w:tcW w:w="644"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降噪措施</w:t>
                  </w:r>
                </w:p>
              </w:tc>
              <w:tc>
                <w:tcPr>
                  <w:tcW w:w="1153" w:type="dxa"/>
                  <w:gridSpan w:val="3"/>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空间相对位置/m</w:t>
                  </w:r>
                </w:p>
              </w:tc>
              <w:tc>
                <w:tcPr>
                  <w:tcW w:w="699"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距室内边界距离/m</w:t>
                  </w:r>
                </w:p>
              </w:tc>
              <w:tc>
                <w:tcPr>
                  <w:tcW w:w="822"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室内边界声级/dB(A)</w:t>
                  </w:r>
                </w:p>
              </w:tc>
              <w:tc>
                <w:tcPr>
                  <w:tcW w:w="468"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运行时段</w:t>
                  </w:r>
                </w:p>
              </w:tc>
              <w:tc>
                <w:tcPr>
                  <w:tcW w:w="822"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建筑物插入损失/dB(A)</w:t>
                  </w:r>
                </w:p>
              </w:tc>
              <w:tc>
                <w:tcPr>
                  <w:tcW w:w="1253" w:type="dxa"/>
                  <w:gridSpan w:val="2"/>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建筑物外噪声</w:t>
                  </w:r>
                </w:p>
              </w:tc>
              <w:tc>
                <w:tcPr>
                  <w:tcW w:w="679"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持续时间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428"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31"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31"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822"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644"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X</w:t>
                  </w:r>
                </w:p>
              </w:tc>
              <w:tc>
                <w:tcPr>
                  <w:tcW w:w="475"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Y</w:t>
                  </w:r>
                </w:p>
              </w:tc>
              <w:tc>
                <w:tcPr>
                  <w:tcW w:w="247"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Z</w:t>
                  </w:r>
                </w:p>
              </w:tc>
              <w:tc>
                <w:tcPr>
                  <w:tcW w:w="699"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822"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68"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822"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声压级/dB(A)</w:t>
                  </w: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建筑物外距离</w:t>
                  </w:r>
                </w:p>
              </w:tc>
              <w:tc>
                <w:tcPr>
                  <w:tcW w:w="679"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428"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w:t>
                  </w:r>
                </w:p>
              </w:tc>
              <w:tc>
                <w:tcPr>
                  <w:tcW w:w="431"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热风炉房</w:t>
                  </w:r>
                </w:p>
              </w:tc>
              <w:tc>
                <w:tcPr>
                  <w:tcW w:w="43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风机</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70</w:t>
                  </w:r>
                </w:p>
              </w:tc>
              <w:tc>
                <w:tcPr>
                  <w:tcW w:w="644"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厂房隔声、减震</w:t>
                  </w: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13</w:t>
                  </w:r>
                </w:p>
              </w:tc>
              <w:tc>
                <w:tcPr>
                  <w:tcW w:w="475"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60</w:t>
                  </w:r>
                </w:p>
              </w:tc>
              <w:tc>
                <w:tcPr>
                  <w:tcW w:w="247"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1.5</w:t>
                  </w:r>
                </w:p>
              </w:tc>
              <w:tc>
                <w:tcPr>
                  <w:tcW w:w="69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63.58</w:t>
                  </w:r>
                </w:p>
              </w:tc>
              <w:tc>
                <w:tcPr>
                  <w:tcW w:w="468"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24小时运行</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26</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37.58</w:t>
                  </w:r>
                </w:p>
              </w:tc>
              <w:tc>
                <w:tcPr>
                  <w:tcW w:w="43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w:t>
                  </w:r>
                </w:p>
              </w:tc>
              <w:tc>
                <w:tcPr>
                  <w:tcW w:w="67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428"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w:t>
                  </w:r>
                </w:p>
              </w:tc>
              <w:tc>
                <w:tcPr>
                  <w:tcW w:w="431" w:type="dxa"/>
                  <w:vMerge w:val="continue"/>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热风炉</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75</w:t>
                  </w:r>
                </w:p>
              </w:tc>
              <w:tc>
                <w:tcPr>
                  <w:tcW w:w="644"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10</w:t>
                  </w:r>
                </w:p>
              </w:tc>
              <w:tc>
                <w:tcPr>
                  <w:tcW w:w="475"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60</w:t>
                  </w:r>
                </w:p>
              </w:tc>
              <w:tc>
                <w:tcPr>
                  <w:tcW w:w="247"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1.5</w:t>
                  </w:r>
                </w:p>
              </w:tc>
              <w:tc>
                <w:tcPr>
                  <w:tcW w:w="69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68.14</w:t>
                  </w:r>
                </w:p>
              </w:tc>
              <w:tc>
                <w:tcPr>
                  <w:tcW w:w="468"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24小时运行</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26</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42.14</w:t>
                  </w:r>
                </w:p>
              </w:tc>
              <w:tc>
                <w:tcPr>
                  <w:tcW w:w="43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w:t>
                  </w:r>
                </w:p>
              </w:tc>
              <w:tc>
                <w:tcPr>
                  <w:tcW w:w="67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720</w:t>
                  </w:r>
                </w:p>
              </w:tc>
            </w:tr>
          </w:tbl>
          <w:p>
            <w:pPr>
              <w:pStyle w:val="80"/>
              <w:adjustRightInd/>
              <w:snapToGrid/>
              <w:spacing w:line="240" w:lineRule="auto"/>
              <w:rPr>
                <w:rFonts w:hint="eastAsia"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表4-</w:t>
            </w:r>
            <w:r>
              <w:rPr>
                <w:rFonts w:hint="eastAsia" w:ascii="Times New Roman" w:hAnsi="Times New Roman" w:eastAsia="宋体" w:cs="Times New Roman"/>
                <w:b/>
                <w:bCs/>
                <w:color w:val="auto"/>
                <w:sz w:val="21"/>
                <w:szCs w:val="21"/>
                <w:lang w:val="en-US" w:eastAsia="zh-CN"/>
              </w:rPr>
              <w:t>8</w:t>
            </w:r>
            <w:r>
              <w:rPr>
                <w:rFonts w:hint="default" w:ascii="Times New Roman" w:hAnsi="Times New Roman" w:eastAsia="宋体" w:cs="Times New Roman"/>
                <w:b/>
                <w:bCs/>
                <w:color w:val="auto"/>
                <w:sz w:val="21"/>
                <w:szCs w:val="21"/>
                <w:lang w:val="en-US" w:eastAsia="zh-CN"/>
              </w:rPr>
              <w:t>噪声源排放特征及噪声值情况表</w:t>
            </w:r>
            <w:r>
              <w:rPr>
                <w:rFonts w:hint="eastAsia" w:ascii="Times New Roman" w:hAnsi="Times New Roman" w:eastAsia="宋体" w:cs="Times New Roman"/>
                <w:b/>
                <w:bCs/>
                <w:color w:val="auto"/>
                <w:sz w:val="21"/>
                <w:szCs w:val="21"/>
                <w:lang w:val="en-US" w:eastAsia="zh-CN"/>
              </w:rPr>
              <w:t>（室外声源）</w:t>
            </w:r>
          </w:p>
          <w:tbl>
            <w:tblPr>
              <w:tblStyle w:val="103"/>
              <w:tblpPr w:leftFromText="180" w:rightFromText="180" w:vertAnchor="text" w:horzAnchor="page" w:tblpX="477" w:tblpY="299"/>
              <w:tblOverlap w:val="never"/>
              <w:tblW w:w="8047"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447"/>
              <w:gridCol w:w="1529"/>
              <w:gridCol w:w="531"/>
              <w:gridCol w:w="427"/>
              <w:gridCol w:w="479"/>
              <w:gridCol w:w="1129"/>
              <w:gridCol w:w="1571"/>
              <w:gridCol w:w="962"/>
              <w:gridCol w:w="97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en-US" w:bidi="ar-SA"/>
                    </w:rPr>
                  </w:pPr>
                  <w:r>
                    <w:rPr>
                      <w:rFonts w:hint="default" w:ascii="Times New Roman" w:hAnsi="Times New Roman" w:eastAsia="宋体" w:cs="Times New Roman"/>
                      <w:b/>
                      <w:color w:val="auto"/>
                      <w:kern w:val="0"/>
                      <w:sz w:val="21"/>
                      <w:szCs w:val="21"/>
                      <w:highlight w:val="none"/>
                      <w:lang w:val="en-US" w:eastAsia="en-US" w:bidi="ar-SA"/>
                    </w:rPr>
                    <w:t>序号</w:t>
                  </w:r>
                </w:p>
              </w:tc>
              <w:tc>
                <w:tcPr>
                  <w:tcW w:w="1529" w:type="dxa"/>
                  <w:vMerge w:val="restart"/>
                  <w:tcBorders>
                    <w:lef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SA"/>
                    </w:rPr>
                    <w:t>声源名称</w:t>
                  </w:r>
                </w:p>
              </w:tc>
              <w:tc>
                <w:tcPr>
                  <w:tcW w:w="1437"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空间相对位置/m</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声源源强/dB（A）</w:t>
                  </w:r>
                </w:p>
              </w:tc>
              <w:tc>
                <w:tcPr>
                  <w:tcW w:w="1571"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SA"/>
                    </w:rPr>
                    <w:t>声源控制措施</w:t>
                  </w:r>
                </w:p>
              </w:tc>
              <w:tc>
                <w:tcPr>
                  <w:tcW w:w="96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zh-CN" w:bidi="ar-SA"/>
                    </w:rPr>
                  </w:pPr>
                  <w:r>
                    <w:rPr>
                      <w:rFonts w:hint="eastAsia" w:cs="Times New Roman"/>
                      <w:b/>
                      <w:color w:val="auto"/>
                      <w:kern w:val="0"/>
                      <w:sz w:val="21"/>
                      <w:szCs w:val="21"/>
                      <w:highlight w:val="none"/>
                      <w:lang w:val="en-US" w:eastAsia="zh-CN" w:bidi="ar-SA"/>
                    </w:rPr>
                    <w:t>降噪后源强dB（A）</w:t>
                  </w:r>
                </w:p>
              </w:tc>
              <w:tc>
                <w:tcPr>
                  <w:tcW w:w="97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SA"/>
                    </w:rPr>
                    <w:t>运行时段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c>
                <w:tcPr>
                  <w:tcW w:w="1529" w:type="dxa"/>
                  <w:vMerge w:val="continue"/>
                  <w:tcBorders>
                    <w:lef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X</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Y</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Z</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声</w:t>
                  </w:r>
                  <w:r>
                    <w:rPr>
                      <w:rFonts w:hint="eastAsia" w:cs="Times New Roman"/>
                      <w:b/>
                      <w:bCs w:val="0"/>
                      <w:color w:val="auto"/>
                      <w:kern w:val="0"/>
                      <w:sz w:val="21"/>
                      <w:szCs w:val="21"/>
                      <w:highlight w:val="none"/>
                      <w:lang w:val="en-US" w:eastAsia="zh-CN" w:bidi="ar-SA"/>
                    </w:rPr>
                    <w:t>压</w:t>
                  </w:r>
                  <w:r>
                    <w:rPr>
                      <w:rFonts w:hint="default" w:ascii="Times New Roman" w:hAnsi="Times New Roman" w:eastAsia="宋体" w:cs="Times New Roman"/>
                      <w:b/>
                      <w:bCs w:val="0"/>
                      <w:color w:val="auto"/>
                      <w:kern w:val="0"/>
                      <w:sz w:val="21"/>
                      <w:szCs w:val="21"/>
                      <w:highlight w:val="none"/>
                      <w:lang w:val="en-US" w:eastAsia="zh-CN" w:bidi="ar-SA"/>
                    </w:rPr>
                    <w:t>级</w:t>
                  </w:r>
                  <w:r>
                    <w:rPr>
                      <w:rFonts w:hint="eastAsia" w:cs="Times New Roman"/>
                      <w:b/>
                      <w:bCs w:val="0"/>
                      <w:color w:val="auto"/>
                      <w:kern w:val="0"/>
                      <w:sz w:val="21"/>
                      <w:szCs w:val="21"/>
                      <w:highlight w:val="none"/>
                      <w:lang w:val="en-US" w:eastAsia="zh-CN" w:bidi="ar-SA"/>
                    </w:rPr>
                    <w:t>/距声源距离5m</w:t>
                  </w:r>
                </w:p>
              </w:tc>
              <w:tc>
                <w:tcPr>
                  <w:tcW w:w="15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c>
                <w:tcPr>
                  <w:tcW w:w="96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c>
                <w:tcPr>
                  <w:tcW w:w="97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1</w:t>
                  </w:r>
                </w:p>
              </w:tc>
              <w:tc>
                <w:tcPr>
                  <w:tcW w:w="1529" w:type="dxa"/>
                  <w:tcBorders>
                    <w:tl2br w:val="nil"/>
                    <w:tr2bl w:val="nil"/>
                  </w:tcBorders>
                  <w:vAlign w:val="center"/>
                </w:tcPr>
                <w:p>
                  <w:pPr>
                    <w:adjustRightInd w:val="0"/>
                    <w:snapToGrid w:val="0"/>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cs="Times New Roman"/>
                      <w:color w:val="auto"/>
                      <w:szCs w:val="21"/>
                    </w:rPr>
                    <w:t>清</w:t>
                  </w:r>
                  <w:r>
                    <w:rPr>
                      <w:rFonts w:hint="default" w:ascii="Times New Roman" w:hAnsi="Times New Roman" w:cs="Times New Roman"/>
                      <w:color w:val="auto"/>
                      <w:szCs w:val="21"/>
                      <w:lang w:val="en-US" w:eastAsia="zh-CN"/>
                    </w:rPr>
                    <w:t>粮</w:t>
                  </w:r>
                  <w:r>
                    <w:rPr>
                      <w:rFonts w:hint="default" w:ascii="Times New Roman" w:hAnsi="Times New Roman" w:cs="Times New Roman"/>
                      <w:color w:val="auto"/>
                      <w:szCs w:val="21"/>
                    </w:rPr>
                    <w:t>筛</w:t>
                  </w: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10</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30</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1.5</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75</w:t>
                  </w:r>
                </w:p>
              </w:tc>
              <w:tc>
                <w:tcPr>
                  <w:tcW w:w="1571"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安装</w:t>
                  </w:r>
                  <w:r>
                    <w:rPr>
                      <w:rFonts w:hint="eastAsia" w:cs="Times New Roman"/>
                      <w:color w:val="auto"/>
                      <w:kern w:val="0"/>
                      <w:sz w:val="21"/>
                      <w:szCs w:val="21"/>
                      <w:highlight w:val="none"/>
                      <w:lang w:val="en-US" w:eastAsia="zh-CN" w:bidi="ar-SA"/>
                    </w:rPr>
                    <w:t>减振</w:t>
                  </w:r>
                  <w:r>
                    <w:rPr>
                      <w:rFonts w:hint="default" w:ascii="Times New Roman" w:hAnsi="Times New Roman" w:eastAsia="宋体" w:cs="Times New Roman"/>
                      <w:color w:val="auto"/>
                      <w:kern w:val="0"/>
                      <w:sz w:val="21"/>
                      <w:szCs w:val="21"/>
                      <w:highlight w:val="none"/>
                      <w:lang w:val="en-US" w:eastAsia="zh-CN" w:bidi="ar-SA"/>
                    </w:rPr>
                    <w:t>基础、选用低噪声设备</w:t>
                  </w:r>
                </w:p>
              </w:tc>
              <w:tc>
                <w:tcPr>
                  <w:tcW w:w="9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55</w:t>
                  </w:r>
                </w:p>
              </w:tc>
              <w:tc>
                <w:tcPr>
                  <w:tcW w:w="97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昼夜运行</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2</w:t>
                  </w:r>
                </w:p>
              </w:tc>
              <w:tc>
                <w:tcPr>
                  <w:tcW w:w="1529" w:type="dxa"/>
                  <w:tcBorders>
                    <w:tl2br w:val="nil"/>
                    <w:tr2bl w:val="nil"/>
                  </w:tcBorders>
                  <w:vAlign w:val="center"/>
                </w:tcPr>
                <w:p>
                  <w:pPr>
                    <w:adjustRightInd w:val="0"/>
                    <w:snapToGrid w:val="0"/>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eastAsia" w:cs="Times New Roman"/>
                      <w:color w:val="auto"/>
                      <w:szCs w:val="21"/>
                      <w:lang w:val="en-US" w:eastAsia="zh-CN"/>
                    </w:rPr>
                    <w:t>提升机</w:t>
                  </w: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12</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40</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1.5</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70</w:t>
                  </w:r>
                </w:p>
              </w:tc>
              <w:tc>
                <w:tcPr>
                  <w:tcW w:w="15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p>
              </w:tc>
              <w:tc>
                <w:tcPr>
                  <w:tcW w:w="9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50</w:t>
                  </w:r>
                </w:p>
              </w:tc>
              <w:tc>
                <w:tcPr>
                  <w:tcW w:w="97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4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3</w:t>
                  </w:r>
                </w:p>
              </w:tc>
              <w:tc>
                <w:tcPr>
                  <w:tcW w:w="1529" w:type="dxa"/>
                  <w:tcBorders>
                    <w:tl2br w:val="nil"/>
                    <w:tr2bl w:val="nil"/>
                  </w:tcBorders>
                  <w:vAlign w:val="center"/>
                </w:tcPr>
                <w:p>
                  <w:pPr>
                    <w:adjustRightInd w:val="0"/>
                    <w:snapToGrid w:val="0"/>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eastAsia" w:cs="Times New Roman"/>
                      <w:color w:val="auto"/>
                      <w:szCs w:val="21"/>
                      <w:lang w:val="en-US" w:eastAsia="zh-CN"/>
                    </w:rPr>
                    <w:t>提升机</w:t>
                  </w: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8</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40</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1.5</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70</w:t>
                  </w:r>
                </w:p>
              </w:tc>
              <w:tc>
                <w:tcPr>
                  <w:tcW w:w="15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p>
              </w:tc>
              <w:tc>
                <w:tcPr>
                  <w:tcW w:w="9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50</w:t>
                  </w:r>
                </w:p>
              </w:tc>
              <w:tc>
                <w:tcPr>
                  <w:tcW w:w="97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4</w:t>
                  </w:r>
                </w:p>
              </w:tc>
              <w:tc>
                <w:tcPr>
                  <w:tcW w:w="1529" w:type="dxa"/>
                  <w:tcBorders>
                    <w:tl2br w:val="nil"/>
                    <w:tr2bl w:val="nil"/>
                  </w:tcBorders>
                  <w:vAlign w:val="center"/>
                </w:tcPr>
                <w:p>
                  <w:pPr>
                    <w:widowControl/>
                    <w:jc w:val="center"/>
                    <w:textAlignment w:val="center"/>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color w:val="auto"/>
                      <w:lang w:val="en-US" w:eastAsia="zh-CN"/>
                    </w:rPr>
                    <w:t>烘干塔</w:t>
                  </w: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10</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60</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1.5</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75</w:t>
                  </w:r>
                </w:p>
              </w:tc>
              <w:tc>
                <w:tcPr>
                  <w:tcW w:w="15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p>
              </w:tc>
              <w:tc>
                <w:tcPr>
                  <w:tcW w:w="9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55</w:t>
                  </w:r>
                </w:p>
              </w:tc>
              <w:tc>
                <w:tcPr>
                  <w:tcW w:w="97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r>
          </w:tbl>
          <w:p>
            <w:pPr>
              <w:keepNext w:val="0"/>
              <w:keepLines w:val="0"/>
              <w:pageBreakBefore w:val="0"/>
              <w:widowControl w:val="0"/>
              <w:kinsoku/>
              <w:wordWrap/>
              <w:overflowPunct/>
              <w:topLinePunct w:val="0"/>
              <w:bidi w:val="0"/>
              <w:spacing w:line="360" w:lineRule="auto"/>
              <w:ind w:left="0" w:firstLine="480"/>
              <w:rPr>
                <w:bCs/>
                <w:color w:val="auto"/>
                <w:sz w:val="24"/>
                <w:szCs w:val="24"/>
                <w:highlight w:val="none"/>
              </w:rPr>
            </w:pPr>
            <w:r>
              <w:rPr>
                <w:bCs/>
                <w:color w:val="auto"/>
                <w:sz w:val="24"/>
                <w:szCs w:val="24"/>
                <w:highlight w:val="none"/>
              </w:rPr>
              <w:t>（</w:t>
            </w:r>
            <w:r>
              <w:rPr>
                <w:rFonts w:hint="eastAsia"/>
                <w:bCs/>
                <w:color w:val="auto"/>
                <w:sz w:val="24"/>
                <w:szCs w:val="24"/>
                <w:highlight w:val="none"/>
              </w:rPr>
              <w:t>2</w:t>
            </w:r>
            <w:r>
              <w:rPr>
                <w:bCs/>
                <w:color w:val="auto"/>
                <w:sz w:val="24"/>
                <w:szCs w:val="24"/>
                <w:highlight w:val="none"/>
              </w:rPr>
              <w:t>）预测模式</w:t>
            </w:r>
          </w:p>
          <w:p>
            <w:pPr>
              <w:spacing w:line="360" w:lineRule="auto"/>
              <w:ind w:firstLine="480" w:firstLineChars="200"/>
              <w:rPr>
                <w:rFonts w:hint="eastAsia" w:cs="Times New Roman"/>
                <w:b w:val="0"/>
                <w:bCs w:val="0"/>
                <w:color w:val="auto"/>
                <w:spacing w:val="0"/>
                <w:position w:val="0"/>
                <w:sz w:val="24"/>
                <w:szCs w:val="24"/>
                <w:lang w:val="en-US" w:eastAsia="zh-CN"/>
              </w:rPr>
            </w:pPr>
            <w:r>
              <w:rPr>
                <w:rFonts w:hint="eastAsia" w:cs="Times New Roman"/>
                <w:b w:val="0"/>
                <w:bCs w:val="0"/>
                <w:color w:val="auto"/>
                <w:spacing w:val="0"/>
                <w:position w:val="0"/>
                <w:sz w:val="24"/>
                <w:szCs w:val="24"/>
                <w:lang w:val="en-US" w:eastAsia="zh-CN"/>
              </w:rPr>
              <w:t>①设靠近开口处（或窗户）室内、室外某倍频带的声压级或A声级分别为Lp1和Lp2。若声源所在室内声场为近似扩散声场，则室外的倍频带声压级可按式近似求出：</w:t>
            </w:r>
          </w:p>
          <w:p>
            <w:pPr>
              <w:spacing w:line="360" w:lineRule="auto"/>
              <w:jc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14"/>
                <w:sz w:val="24"/>
                <w:szCs w:val="24"/>
              </w:rPr>
              <w:object>
                <v:shape id="_x0000_i1027" o:spt="75" type="#_x0000_t75" style="height:23.35pt;width:116.7pt;" o:ole="t" filled="f" o:preferrelative="t" stroked="f" coordsize="21600,21600">
                  <v:path/>
                  <v:fill on="f" focussize="0,0"/>
                  <v:stroke on="f"/>
                  <v:imagedata r:id="rId27" o:title=""/>
                  <o:lock v:ext="edit" aspectratio="t"/>
                  <w10:wrap type="none"/>
                  <w10:anchorlock/>
                </v:shape>
                <o:OLEObject Type="Embed" ProgID="Equation.3" ShapeID="_x0000_i1027" DrawAspect="Content" ObjectID="_1468075727" r:id="rId26">
                  <o:LockedField>false</o:LockedField>
                </o:OLEObject>
              </w:object>
            </w:r>
          </w:p>
          <w:p>
            <w:pPr>
              <w:spacing w:line="360" w:lineRule="auto"/>
              <w:jc w:val="center"/>
              <w:rPr>
                <w:rFonts w:hint="default" w:ascii="Times New Roman" w:hAnsi="Times New Roman" w:eastAsia="宋体" w:cs="Times New Roman"/>
                <w:b w:val="0"/>
                <w:bCs w:val="0"/>
                <w:color w:val="auto"/>
                <w:spacing w:val="0"/>
                <w:position w:val="0"/>
                <w:sz w:val="24"/>
                <w:szCs w:val="24"/>
                <w:lang w:val="en-US" w:eastAsia="zh-CN"/>
              </w:rPr>
            </w:pPr>
            <w:r>
              <w:rPr>
                <w:rFonts w:hint="default" w:ascii="Times New Roman" w:hAnsi="Times New Roman" w:eastAsia="宋体" w:cs="Times New Roman"/>
                <w:b w:val="0"/>
                <w:bCs w:val="0"/>
                <w:color w:val="auto"/>
                <w:spacing w:val="0"/>
                <w:position w:val="0"/>
                <w:sz w:val="24"/>
                <w:szCs w:val="24"/>
                <w:lang w:val="en-US" w:eastAsia="zh-CN"/>
              </w:rPr>
              <w:t xml:space="preserve">式中：Lp1——靠近开口处（或窗户）室内某倍频带的声压级或A声级，dB； </w:t>
            </w:r>
          </w:p>
          <w:p>
            <w:pPr>
              <w:spacing w:line="360" w:lineRule="auto"/>
              <w:jc w:val="center"/>
              <w:rPr>
                <w:rFonts w:hint="default" w:ascii="Times New Roman" w:hAnsi="Times New Roman" w:eastAsia="宋体" w:cs="Times New Roman"/>
                <w:b w:val="0"/>
                <w:bCs w:val="0"/>
                <w:color w:val="auto"/>
                <w:spacing w:val="0"/>
                <w:position w:val="0"/>
                <w:sz w:val="24"/>
                <w:szCs w:val="24"/>
                <w:lang w:val="en-US" w:eastAsia="zh-CN"/>
              </w:rPr>
            </w:pPr>
            <w:r>
              <w:rPr>
                <w:rFonts w:hint="default" w:ascii="Times New Roman" w:hAnsi="Times New Roman" w:eastAsia="宋体" w:cs="Times New Roman"/>
                <w:b w:val="0"/>
                <w:bCs w:val="0"/>
                <w:color w:val="auto"/>
                <w:spacing w:val="0"/>
                <w:position w:val="0"/>
                <w:sz w:val="24"/>
                <w:szCs w:val="24"/>
                <w:lang w:val="en-US" w:eastAsia="zh-CN"/>
              </w:rPr>
              <w:t xml:space="preserve">Lp2——靠近开口处（或窗户）室外某倍频带的声压级或A声级，dB； </w:t>
            </w:r>
          </w:p>
          <w:p>
            <w:pPr>
              <w:spacing w:line="360" w:lineRule="auto"/>
              <w:jc w:val="center"/>
              <w:rPr>
                <w:rFonts w:hint="default" w:ascii="Times New Roman" w:hAnsi="Times New Roman" w:eastAsia="宋体" w:cs="Times New Roman"/>
                <w:b w:val="0"/>
                <w:bCs w:val="0"/>
                <w:color w:val="auto"/>
                <w:spacing w:val="0"/>
                <w:position w:val="0"/>
                <w:sz w:val="24"/>
                <w:szCs w:val="24"/>
                <w:lang w:val="en-US" w:eastAsia="zh-CN"/>
              </w:rPr>
            </w:pPr>
            <w:r>
              <w:rPr>
                <w:rFonts w:hint="default" w:ascii="Times New Roman" w:hAnsi="Times New Roman" w:eastAsia="宋体" w:cs="Times New Roman"/>
                <w:b w:val="0"/>
                <w:bCs w:val="0"/>
                <w:color w:val="auto"/>
                <w:spacing w:val="0"/>
                <w:position w:val="0"/>
                <w:sz w:val="24"/>
                <w:szCs w:val="24"/>
                <w:lang w:val="en-US" w:eastAsia="zh-CN"/>
              </w:rPr>
              <w:t>TL——隔墙（或窗户）倍频带或A声级的隔声量，dB。</w:t>
            </w:r>
          </w:p>
          <w:p>
            <w:pPr>
              <w:spacing w:line="360" w:lineRule="auto"/>
              <w:ind w:firstLine="480" w:firstLineChars="200"/>
              <w:rPr>
                <w:rFonts w:hint="default" w:ascii="Times New Roman" w:hAnsi="Times New Roman" w:eastAsia="宋体" w:cs="Times New Roman"/>
                <w:b w:val="0"/>
                <w:bCs w:val="0"/>
                <w:color w:val="auto"/>
                <w:spacing w:val="0"/>
                <w:position w:val="0"/>
                <w:sz w:val="24"/>
                <w:szCs w:val="24"/>
              </w:rPr>
            </w:pPr>
            <w:r>
              <w:rPr>
                <w:rFonts w:hint="eastAsia" w:cs="Times New Roman"/>
                <w:b w:val="0"/>
                <w:bCs w:val="0"/>
                <w:color w:val="auto"/>
                <w:spacing w:val="0"/>
                <w:position w:val="0"/>
                <w:sz w:val="24"/>
                <w:szCs w:val="24"/>
                <w:lang w:val="en-US" w:eastAsia="zh-CN"/>
              </w:rPr>
              <w:t>②也可按</w:t>
            </w:r>
            <w:r>
              <w:rPr>
                <w:rFonts w:hint="default" w:ascii="Times New Roman" w:hAnsi="Times New Roman" w:eastAsia="宋体" w:cs="Times New Roman"/>
                <w:b w:val="0"/>
                <w:bCs w:val="0"/>
                <w:color w:val="auto"/>
                <w:spacing w:val="0"/>
                <w:position w:val="0"/>
                <w:sz w:val="24"/>
                <w:szCs w:val="24"/>
              </w:rPr>
              <w:t>某一室内声源靠近围护结构处产生的倍频带声压级</w:t>
            </w:r>
          </w:p>
          <w:p>
            <w:pPr>
              <w:pStyle w:val="104"/>
              <w:adjustRightInd w:val="0"/>
              <w:snapToGrid w:val="0"/>
              <w:spacing w:line="360" w:lineRule="auto"/>
              <w:ind w:left="1320" w:hanging="1320" w:hangingChars="550"/>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28"/>
                <w:sz w:val="24"/>
                <w:szCs w:val="24"/>
              </w:rPr>
              <w:object>
                <v:shape id="_x0000_i1028" o:spt="75" type="#_x0000_t75" style="height:41.6pt;width:163.25pt;" o:ole="t" filled="f" o:preferrelative="t" stroked="f" coordsize="21600,21600">
                  <v:path/>
                  <v:fill on="f" focussize="0,0"/>
                  <v:stroke on="f"/>
                  <v:imagedata r:id="rId29" o:title=""/>
                  <o:lock v:ext="edit" aspectratio="t"/>
                  <w10:wrap type="none"/>
                  <w10:anchorlock/>
                </v:shape>
                <o:OLEObject Type="Embed" ProgID="Equation.3" ShapeID="_x0000_i1028" DrawAspect="Content" ObjectID="_1468075728" r:id="rId28">
                  <o:LockedField>false</o:LockedField>
                </o:OLEObject>
              </w:objec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式中：L</w:t>
            </w:r>
            <w:r>
              <w:rPr>
                <w:rFonts w:hint="default" w:ascii="Times New Roman" w:hAnsi="Times New Roman" w:eastAsia="宋体" w:cs="Times New Roman"/>
                <w:b w:val="0"/>
                <w:bCs w:val="0"/>
                <w:color w:val="auto"/>
                <w:spacing w:val="0"/>
                <w:position w:val="0"/>
                <w:sz w:val="24"/>
                <w:szCs w:val="24"/>
                <w:vertAlign w:val="subscript"/>
              </w:rPr>
              <w:t>p1</w:t>
            </w:r>
            <w:r>
              <w:rPr>
                <w:rFonts w:hint="default" w:ascii="Times New Roman" w:hAnsi="Times New Roman" w:eastAsia="宋体" w:cs="Times New Roman"/>
                <w:b w:val="0"/>
                <w:bCs w:val="0"/>
                <w:color w:val="auto"/>
                <w:spacing w:val="0"/>
                <w:position w:val="0"/>
                <w:sz w:val="24"/>
                <w:szCs w:val="24"/>
              </w:rPr>
              <w:t>—靠近开口处（窗户）室内某倍频带的声压级或A声级，dB；</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 xml:space="preserve">      L</w:t>
            </w:r>
            <w:r>
              <w:rPr>
                <w:rFonts w:hint="default" w:ascii="Times New Roman" w:hAnsi="Times New Roman" w:eastAsia="宋体" w:cs="Times New Roman"/>
                <w:b w:val="0"/>
                <w:bCs w:val="0"/>
                <w:color w:val="auto"/>
                <w:spacing w:val="0"/>
                <w:position w:val="0"/>
                <w:sz w:val="24"/>
                <w:szCs w:val="24"/>
                <w:vertAlign w:val="subscript"/>
              </w:rPr>
              <w:t>w</w:t>
            </w:r>
            <w:r>
              <w:rPr>
                <w:rFonts w:hint="default" w:ascii="Times New Roman" w:hAnsi="Times New Roman" w:eastAsia="宋体" w:cs="Times New Roman"/>
                <w:b w:val="0"/>
                <w:bCs w:val="0"/>
                <w:color w:val="auto"/>
                <w:spacing w:val="0"/>
                <w:position w:val="0"/>
                <w:sz w:val="24"/>
                <w:szCs w:val="24"/>
              </w:rPr>
              <w:t>—点声源声功率级（A计权或倍频带），dB；</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 xml:space="preserve">      Q—指向性因数，通常对无指向性声源，当声源放在房间中心时，</w:t>
            </w:r>
            <w:r>
              <w:rPr>
                <w:rFonts w:hint="default" w:ascii="Times New Roman" w:hAnsi="Times New Roman" w:eastAsia="宋体" w:cs="Times New Roman"/>
                <w:b w:val="0"/>
                <w:bCs w:val="0"/>
                <w:i/>
                <w:color w:val="auto"/>
                <w:spacing w:val="0"/>
                <w:position w:val="0"/>
                <w:sz w:val="24"/>
                <w:szCs w:val="24"/>
              </w:rPr>
              <w:t>Q</w:t>
            </w:r>
            <w:r>
              <w:rPr>
                <w:rFonts w:hint="default" w:ascii="Times New Roman" w:hAnsi="Times New Roman" w:eastAsia="宋体" w:cs="Times New Roman"/>
                <w:b w:val="0"/>
                <w:bCs w:val="0"/>
                <w:color w:val="auto"/>
                <w:spacing w:val="0"/>
                <w:position w:val="0"/>
                <w:sz w:val="24"/>
                <w:szCs w:val="24"/>
              </w:rPr>
              <w:t>=1，当放在一面墙的中心时，</w:t>
            </w:r>
            <w:r>
              <w:rPr>
                <w:rFonts w:hint="default" w:ascii="Times New Roman" w:hAnsi="Times New Roman" w:eastAsia="宋体" w:cs="Times New Roman"/>
                <w:b w:val="0"/>
                <w:bCs w:val="0"/>
                <w:i/>
                <w:color w:val="auto"/>
                <w:spacing w:val="0"/>
                <w:position w:val="0"/>
                <w:sz w:val="24"/>
                <w:szCs w:val="24"/>
              </w:rPr>
              <w:t>Q</w:t>
            </w:r>
            <w:r>
              <w:rPr>
                <w:rFonts w:hint="default" w:ascii="Times New Roman" w:hAnsi="Times New Roman" w:eastAsia="宋体" w:cs="Times New Roman"/>
                <w:b w:val="0"/>
                <w:bCs w:val="0"/>
                <w:color w:val="auto"/>
                <w:spacing w:val="0"/>
                <w:position w:val="0"/>
                <w:sz w:val="24"/>
                <w:szCs w:val="24"/>
              </w:rPr>
              <w:t>=2；当放在两面墙夹角处时，</w:t>
            </w:r>
            <w:r>
              <w:rPr>
                <w:rFonts w:hint="default" w:ascii="Times New Roman" w:hAnsi="Times New Roman" w:eastAsia="宋体" w:cs="Times New Roman"/>
                <w:b w:val="0"/>
                <w:bCs w:val="0"/>
                <w:i/>
                <w:color w:val="auto"/>
                <w:spacing w:val="0"/>
                <w:position w:val="0"/>
                <w:sz w:val="24"/>
                <w:szCs w:val="24"/>
              </w:rPr>
              <w:t>Q</w:t>
            </w:r>
            <w:r>
              <w:rPr>
                <w:rFonts w:hint="default" w:ascii="Times New Roman" w:hAnsi="Times New Roman" w:eastAsia="宋体" w:cs="Times New Roman"/>
                <w:b w:val="0"/>
                <w:bCs w:val="0"/>
                <w:color w:val="auto"/>
                <w:spacing w:val="0"/>
                <w:position w:val="0"/>
                <w:sz w:val="24"/>
                <w:szCs w:val="24"/>
              </w:rPr>
              <w:t>=4，当放在三面墙夹角处时，</w:t>
            </w:r>
            <w:r>
              <w:rPr>
                <w:rFonts w:hint="default" w:ascii="Times New Roman" w:hAnsi="Times New Roman" w:eastAsia="宋体" w:cs="Times New Roman"/>
                <w:b w:val="0"/>
                <w:bCs w:val="0"/>
                <w:i/>
                <w:color w:val="auto"/>
                <w:spacing w:val="0"/>
                <w:position w:val="0"/>
                <w:sz w:val="24"/>
                <w:szCs w:val="24"/>
              </w:rPr>
              <w:t>Q</w:t>
            </w:r>
            <w:r>
              <w:rPr>
                <w:rFonts w:hint="default" w:ascii="Times New Roman" w:hAnsi="Times New Roman" w:eastAsia="宋体" w:cs="Times New Roman"/>
                <w:b w:val="0"/>
                <w:bCs w:val="0"/>
                <w:color w:val="auto"/>
                <w:spacing w:val="0"/>
                <w:position w:val="0"/>
                <w:sz w:val="24"/>
                <w:szCs w:val="24"/>
              </w:rPr>
              <w:t>=8；</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R</w:t>
            </w:r>
            <w:r>
              <w:rPr>
                <w:rFonts w:hint="default" w:ascii="Times New Roman" w:hAnsi="Times New Roman" w:eastAsia="宋体" w:cs="Times New Roman"/>
                <w:b w:val="0"/>
                <w:bCs w:val="0"/>
                <w:color w:val="auto"/>
                <w:spacing w:val="0"/>
                <w:position w:val="0"/>
                <w:sz w:val="24"/>
                <w:szCs w:val="24"/>
              </w:rPr>
              <w:t>—房间常数，</w:t>
            </w: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S</w:t>
            </w:r>
            <w:r>
              <w:rPr>
                <w:rFonts w:hint="default" w:ascii="Times New Roman" w:hAnsi="Times New Roman" w:eastAsia="宋体" w:cs="Times New Roman"/>
                <w:b w:val="0"/>
                <w:bCs w:val="0"/>
                <w:color w:val="auto"/>
                <w:spacing w:val="0"/>
                <w:position w:val="0"/>
                <w:sz w:val="24"/>
                <w:szCs w:val="24"/>
              </w:rPr>
              <w:t>α/(1−α</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S</w:t>
            </w:r>
            <w:r>
              <w:rPr>
                <w:rFonts w:hint="default" w:ascii="Times New Roman" w:hAnsi="Times New Roman" w:eastAsia="宋体" w:cs="Times New Roman"/>
                <w:b w:val="0"/>
                <w:bCs w:val="0"/>
                <w:color w:val="auto"/>
                <w:spacing w:val="0"/>
                <w:position w:val="0"/>
                <w:sz w:val="24"/>
                <w:szCs w:val="24"/>
              </w:rPr>
              <w:t>为房间内表面面积，m</w:t>
            </w:r>
            <w:r>
              <w:rPr>
                <w:rFonts w:hint="default" w:ascii="Times New Roman" w:hAnsi="Times New Roman" w:eastAsia="宋体" w:cs="Times New Roman"/>
                <w:b w:val="0"/>
                <w:bCs w:val="0"/>
                <w:color w:val="auto"/>
                <w:spacing w:val="0"/>
                <w:position w:val="0"/>
                <w:sz w:val="24"/>
                <w:szCs w:val="24"/>
                <w:vertAlign w:val="superscript"/>
              </w:rPr>
              <w:t>2</w:t>
            </w:r>
            <w:r>
              <w:rPr>
                <w:rFonts w:hint="default" w:ascii="Times New Roman" w:hAnsi="Times New Roman" w:eastAsia="宋体" w:cs="Times New Roman"/>
                <w:b w:val="0"/>
                <w:bCs w:val="0"/>
                <w:color w:val="auto"/>
                <w:spacing w:val="0"/>
                <w:position w:val="0"/>
                <w:sz w:val="24"/>
                <w:szCs w:val="24"/>
              </w:rPr>
              <w:t>，α为平均吸声系数；</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r</w:t>
            </w:r>
            <w:r>
              <w:rPr>
                <w:rFonts w:hint="default" w:ascii="Times New Roman" w:hAnsi="Times New Roman" w:eastAsia="宋体" w:cs="Times New Roman"/>
                <w:b w:val="0"/>
                <w:bCs w:val="0"/>
                <w:color w:val="auto"/>
                <w:spacing w:val="0"/>
                <w:position w:val="0"/>
                <w:sz w:val="24"/>
                <w:szCs w:val="24"/>
              </w:rPr>
              <w:t>—声源到靠近围护结构某点处的距离，m。</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eastAsia" w:cs="Times New Roman"/>
                <w:b w:val="0"/>
                <w:bCs w:val="0"/>
                <w:color w:val="auto"/>
                <w:spacing w:val="0"/>
                <w:position w:val="0"/>
                <w:sz w:val="24"/>
                <w:szCs w:val="24"/>
                <w:lang w:val="en-US" w:eastAsia="zh-CN"/>
              </w:rPr>
              <w:t>③</w:t>
            </w:r>
            <w:r>
              <w:rPr>
                <w:rFonts w:hint="default" w:ascii="Times New Roman" w:hAnsi="Times New Roman" w:eastAsia="宋体" w:cs="Times New Roman"/>
                <w:b w:val="0"/>
                <w:bCs w:val="0"/>
                <w:color w:val="auto"/>
                <w:spacing w:val="0"/>
                <w:position w:val="0"/>
                <w:sz w:val="24"/>
                <w:szCs w:val="24"/>
              </w:rPr>
              <w:t>所有室内声源在围护结构处产生的</w:t>
            </w:r>
            <w:r>
              <w:rPr>
                <w:rFonts w:hint="default" w:ascii="Times New Roman" w:hAnsi="Times New Roman" w:eastAsia="宋体" w:cs="Times New Roman"/>
                <w:b w:val="0"/>
                <w:bCs w:val="0"/>
                <w:i/>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倍频带叠加声压级：</w:t>
            </w:r>
          </w:p>
          <w:p>
            <w:pPr>
              <w:pStyle w:val="104"/>
              <w:adjustRightInd w:val="0"/>
              <w:snapToGrid w:val="0"/>
              <w:spacing w:line="360" w:lineRule="auto"/>
              <w:ind w:firstLine="198"/>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object>
                <v:shape id="_x0000_i1029" o:spt="75" type="#_x0000_t75" style="height:42.7pt;width:143.35pt;" o:ole="t" filled="f" o:preferrelative="t" stroked="f" coordsize="21600,21600">
                  <v:path/>
                  <v:fill on="f" focussize="0,0"/>
                  <v:stroke on="f" joinstyle="miter"/>
                  <v:imagedata r:id="rId31" o:title=""/>
                  <o:lock v:ext="edit" aspectratio="t"/>
                  <w10:wrap type="none"/>
                  <w10:anchorlock/>
                </v:shape>
                <o:OLEObject Type="Embed" ProgID="Equation.3" ShapeID="_x0000_i1029" DrawAspect="Content" ObjectID="_1468075729" r:id="rId30">
                  <o:LockedField>false</o:LockedField>
                </o:OLEObject>
              </w:objec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p1i</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T</w:t>
            </w:r>
            <w:r>
              <w:rPr>
                <w:rFonts w:hint="default" w:ascii="Times New Roman" w:hAnsi="Times New Roman" w:eastAsia="宋体" w:cs="Times New Roman"/>
                <w:b w:val="0"/>
                <w:bCs w:val="0"/>
                <w:color w:val="auto"/>
                <w:spacing w:val="0"/>
                <w:position w:val="0"/>
                <w:sz w:val="24"/>
                <w:szCs w:val="24"/>
              </w:rPr>
              <w:t>)—靠近围护结构处室内</w:t>
            </w:r>
            <w:r>
              <w:rPr>
                <w:rFonts w:hint="default" w:ascii="Times New Roman" w:hAnsi="Times New Roman" w:eastAsia="宋体" w:cs="Times New Roman"/>
                <w:b w:val="0"/>
                <w:bCs w:val="0"/>
                <w:i/>
                <w:iCs/>
                <w:color w:val="auto"/>
                <w:spacing w:val="0"/>
                <w:position w:val="0"/>
                <w:sz w:val="24"/>
                <w:szCs w:val="24"/>
              </w:rPr>
              <w:t>N</w:t>
            </w:r>
            <w:r>
              <w:rPr>
                <w:rFonts w:hint="default" w:ascii="Times New Roman" w:hAnsi="Times New Roman" w:eastAsia="宋体" w:cs="Times New Roman"/>
                <w:b w:val="0"/>
                <w:bCs w:val="0"/>
                <w:color w:val="auto"/>
                <w:spacing w:val="0"/>
                <w:position w:val="0"/>
                <w:sz w:val="24"/>
                <w:szCs w:val="24"/>
              </w:rPr>
              <w:t>个声源</w:t>
            </w:r>
            <w:r>
              <w:rPr>
                <w:rFonts w:hint="default" w:ascii="Times New Roman" w:hAnsi="Times New Roman" w:eastAsia="宋体" w:cs="Times New Roman"/>
                <w:b w:val="0"/>
                <w:bCs w:val="0"/>
                <w:i/>
                <w:iCs/>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倍频带的叠加声压级，dB；</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Cs/>
                <w:color w:val="auto"/>
                <w:spacing w:val="0"/>
                <w:position w:val="0"/>
                <w:sz w:val="24"/>
                <w:szCs w:val="24"/>
              </w:rPr>
              <w:t xml:space="preserve">     L</w:t>
            </w:r>
            <w:r>
              <w:rPr>
                <w:rFonts w:hint="default" w:ascii="Times New Roman" w:hAnsi="Times New Roman" w:eastAsia="宋体" w:cs="Times New Roman"/>
                <w:b w:val="0"/>
                <w:bCs w:val="0"/>
                <w:iCs/>
                <w:color w:val="auto"/>
                <w:spacing w:val="0"/>
                <w:position w:val="0"/>
                <w:sz w:val="24"/>
                <w:szCs w:val="24"/>
                <w:vertAlign w:val="subscript"/>
              </w:rPr>
              <w:t>p</w:t>
            </w:r>
            <w:r>
              <w:rPr>
                <w:rFonts w:hint="default" w:ascii="Times New Roman" w:hAnsi="Times New Roman" w:eastAsia="宋体" w:cs="Times New Roman"/>
                <w:b w:val="0"/>
                <w:bCs w:val="0"/>
                <w:color w:val="auto"/>
                <w:spacing w:val="0"/>
                <w:position w:val="0"/>
                <w:sz w:val="24"/>
                <w:szCs w:val="24"/>
                <w:vertAlign w:val="subscript"/>
              </w:rPr>
              <w:t>1</w:t>
            </w:r>
            <w:r>
              <w:rPr>
                <w:rFonts w:hint="default" w:ascii="Times New Roman" w:hAnsi="Times New Roman" w:eastAsia="宋体" w:cs="Times New Roman"/>
                <w:b w:val="0"/>
                <w:bCs w:val="0"/>
                <w:iCs/>
                <w:color w:val="auto"/>
                <w:spacing w:val="0"/>
                <w:position w:val="0"/>
                <w:sz w:val="24"/>
                <w:szCs w:val="24"/>
                <w:vertAlign w:val="subscript"/>
              </w:rPr>
              <w:t>ij</w:t>
            </w:r>
            <w:r>
              <w:rPr>
                <w:rFonts w:hint="default" w:ascii="Times New Roman" w:hAnsi="Times New Roman" w:eastAsia="宋体" w:cs="Times New Roman"/>
                <w:b w:val="0"/>
                <w:bCs w:val="0"/>
                <w:color w:val="auto"/>
                <w:spacing w:val="0"/>
                <w:position w:val="0"/>
                <w:sz w:val="24"/>
                <w:szCs w:val="24"/>
              </w:rPr>
              <w:t>—室内</w:t>
            </w:r>
            <w:r>
              <w:rPr>
                <w:rFonts w:hint="default" w:ascii="Times New Roman" w:hAnsi="Times New Roman" w:eastAsia="宋体" w:cs="Times New Roman"/>
                <w:b w:val="0"/>
                <w:bCs w:val="0"/>
                <w:iCs/>
                <w:color w:val="auto"/>
                <w:spacing w:val="0"/>
                <w:position w:val="0"/>
                <w:sz w:val="24"/>
                <w:szCs w:val="24"/>
              </w:rPr>
              <w:t>j</w:t>
            </w:r>
            <w:r>
              <w:rPr>
                <w:rFonts w:hint="default" w:ascii="Times New Roman" w:hAnsi="Times New Roman" w:eastAsia="宋体" w:cs="Times New Roman"/>
                <w:b w:val="0"/>
                <w:bCs w:val="0"/>
                <w:color w:val="auto"/>
                <w:spacing w:val="0"/>
                <w:position w:val="0"/>
                <w:sz w:val="24"/>
                <w:szCs w:val="24"/>
              </w:rPr>
              <w:t>声源</w:t>
            </w:r>
            <w:r>
              <w:rPr>
                <w:rFonts w:hint="default" w:ascii="Times New Roman" w:hAnsi="Times New Roman" w:eastAsia="宋体" w:cs="Times New Roman"/>
                <w:b w:val="0"/>
                <w:bCs w:val="0"/>
                <w:iCs/>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倍频带的声压级，dB；</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Cs/>
                <w:color w:val="auto"/>
                <w:spacing w:val="0"/>
                <w:position w:val="0"/>
                <w:sz w:val="24"/>
                <w:szCs w:val="24"/>
              </w:rPr>
              <w:t xml:space="preserve">     N</w:t>
            </w:r>
            <w:r>
              <w:rPr>
                <w:rFonts w:hint="default" w:ascii="Times New Roman" w:hAnsi="Times New Roman" w:eastAsia="宋体" w:cs="Times New Roman"/>
                <w:b w:val="0"/>
                <w:bCs w:val="0"/>
                <w:color w:val="auto"/>
                <w:spacing w:val="0"/>
                <w:position w:val="0"/>
                <w:sz w:val="24"/>
                <w:szCs w:val="24"/>
              </w:rPr>
              <w:t>—室内声源总数。</w:t>
            </w:r>
          </w:p>
          <w:p>
            <w:pPr>
              <w:pStyle w:val="104"/>
              <w:adjustRightInd w:val="0"/>
              <w:snapToGrid w:val="0"/>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eastAsia" w:cs="Times New Roman"/>
                <w:b w:val="0"/>
                <w:bCs w:val="0"/>
                <w:color w:val="auto"/>
                <w:spacing w:val="0"/>
                <w:position w:val="0"/>
                <w:sz w:val="24"/>
                <w:szCs w:val="24"/>
                <w:lang w:val="en-US" w:eastAsia="zh-CN"/>
              </w:rPr>
              <w:t>④</w:t>
            </w:r>
            <w:r>
              <w:rPr>
                <w:rFonts w:hint="default" w:ascii="Times New Roman" w:hAnsi="Times New Roman" w:eastAsia="宋体" w:cs="Times New Roman"/>
                <w:b w:val="0"/>
                <w:bCs w:val="0"/>
                <w:color w:val="auto"/>
                <w:spacing w:val="0"/>
                <w:position w:val="0"/>
                <w:sz w:val="24"/>
                <w:szCs w:val="24"/>
              </w:rPr>
              <w:t>无指向性点声源几何发散衰减的基本公式是：</w:t>
            </w:r>
          </w:p>
          <w:p>
            <w:pPr>
              <w:pStyle w:val="104"/>
              <w:adjustRightInd w:val="0"/>
              <w:snapToGrid w:val="0"/>
              <w:spacing w:line="360" w:lineRule="auto"/>
              <w:ind w:firstLine="198"/>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object>
                <v:shape id="_x0000_i1030" o:spt="75" type="#_x0000_t75" style="height:36.95pt;width:131.9pt;" o:ole="t" filled="f" o:preferrelative="t" stroked="f" coordsize="21600,21600">
                  <v:path/>
                  <v:fill on="f" focussize="0,0"/>
                  <v:stroke on="f" joinstyle="miter"/>
                  <v:imagedata r:id="rId33" o:title=""/>
                  <o:lock v:ext="edit" aspectratio="t"/>
                  <w10:wrap type="none"/>
                  <w10:anchorlock/>
                </v:shape>
                <o:OLEObject Type="Embed" ProgID="Equation.3" ShapeID="_x0000_i1030" DrawAspect="Content" ObjectID="_1468075730" r:id="rId32">
                  <o:LockedField>false</o:LockedField>
                </o:OLEObject>
              </w:object>
            </w:r>
          </w:p>
          <w:p>
            <w:pPr>
              <w:spacing w:line="360" w:lineRule="auto"/>
              <w:ind w:firstLine="48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p</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rPr>
              <w:t>)—预测点处声压级，dB；</w:t>
            </w:r>
          </w:p>
          <w:p>
            <w:pPr>
              <w:spacing w:line="360" w:lineRule="auto"/>
              <w:ind w:firstLine="948" w:firstLineChars="395"/>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p</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i/>
                <w:color w:val="auto"/>
                <w:spacing w:val="0"/>
                <w:position w:val="0"/>
                <w:sz w:val="24"/>
                <w:szCs w:val="24"/>
                <w:vertAlign w:val="subscript"/>
              </w:rPr>
              <w:t>0</w:t>
            </w:r>
            <w:r>
              <w:rPr>
                <w:rFonts w:hint="default" w:ascii="Times New Roman" w:hAnsi="Times New Roman" w:eastAsia="宋体" w:cs="Times New Roman"/>
                <w:b w:val="0"/>
                <w:bCs w:val="0"/>
                <w:color w:val="auto"/>
                <w:spacing w:val="0"/>
                <w:position w:val="0"/>
                <w:sz w:val="24"/>
                <w:szCs w:val="24"/>
              </w:rPr>
              <w:t>)—参考位置</w:t>
            </w: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vertAlign w:val="subscript"/>
              </w:rPr>
              <w:t>0</w:t>
            </w:r>
            <w:r>
              <w:rPr>
                <w:rFonts w:hint="default" w:ascii="Times New Roman" w:hAnsi="Times New Roman" w:eastAsia="宋体" w:cs="Times New Roman"/>
                <w:b w:val="0"/>
                <w:bCs w:val="0"/>
                <w:color w:val="auto"/>
                <w:spacing w:val="0"/>
                <w:position w:val="0"/>
                <w:sz w:val="24"/>
                <w:szCs w:val="24"/>
              </w:rPr>
              <w:t>处的声压级，dB；</w:t>
            </w:r>
          </w:p>
          <w:p>
            <w:pPr>
              <w:pStyle w:val="104"/>
              <w:spacing w:line="360" w:lineRule="auto"/>
              <w:ind w:firstLine="916" w:firstLineChars="382"/>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rPr>
              <w:t>—预测点距声源的距离；</w:t>
            </w:r>
          </w:p>
          <w:p>
            <w:pPr>
              <w:pStyle w:val="104"/>
              <w:spacing w:line="360" w:lineRule="auto"/>
              <w:ind w:firstLine="916" w:firstLineChars="382"/>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vertAlign w:val="subscript"/>
              </w:rPr>
              <w:t>0</w:t>
            </w:r>
            <w:r>
              <w:rPr>
                <w:rFonts w:hint="default" w:ascii="Times New Roman" w:hAnsi="Times New Roman" w:eastAsia="宋体" w:cs="Times New Roman"/>
                <w:b w:val="0"/>
                <w:bCs w:val="0"/>
                <w:color w:val="auto"/>
                <w:spacing w:val="0"/>
                <w:position w:val="0"/>
                <w:sz w:val="24"/>
                <w:szCs w:val="24"/>
              </w:rPr>
              <w:t>—参考位置距声源的距离，m。</w:t>
            </w:r>
          </w:p>
          <w:p>
            <w:pPr>
              <w:pStyle w:val="105"/>
              <w:autoSpaceDE w:val="0"/>
              <w:autoSpaceDN w:val="0"/>
              <w:adjustRightInd/>
              <w:spacing w:line="360" w:lineRule="auto"/>
              <w:ind w:left="647" w:leftChars="308" w:firstLine="72" w:firstLineChars="3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建设项目声源在预测点产生的等效声级贡献值</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eqg</w:t>
            </w:r>
            <w:r>
              <w:rPr>
                <w:rFonts w:hint="eastAsia" w:ascii="Times New Roman" w:hAnsi="Times New Roman" w:eastAsia="宋体" w:cs="Times New Roman"/>
                <w:b w:val="0"/>
                <w:bCs w:val="0"/>
                <w:color w:val="auto"/>
                <w:spacing w:val="0"/>
                <w:position w:val="0"/>
                <w:sz w:val="24"/>
                <w:szCs w:val="24"/>
                <w:vertAlign w:val="subscript"/>
                <w:lang w:eastAsia="zh-CN"/>
              </w:rPr>
              <w:t>）</w:t>
            </w:r>
            <w:r>
              <w:rPr>
                <w:rFonts w:hint="default" w:ascii="Times New Roman" w:hAnsi="Times New Roman" w:eastAsia="宋体" w:cs="Times New Roman"/>
                <w:b w:val="0"/>
                <w:bCs w:val="0"/>
                <w:color w:val="auto"/>
                <w:spacing w:val="0"/>
                <w:position w:val="0"/>
                <w:sz w:val="24"/>
                <w:szCs w:val="24"/>
              </w:rPr>
              <w:t>计算公式：</w:t>
            </w:r>
          </w:p>
          <w:p>
            <w:pPr>
              <w:pStyle w:val="105"/>
              <w:autoSpaceDE w:val="0"/>
              <w:autoSpaceDN w:val="0"/>
              <w:snapToGrid w:val="0"/>
              <w:spacing w:line="360" w:lineRule="auto"/>
              <w:ind w:firstLine="198"/>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object>
                <v:shape id="_x0000_i1031" o:spt="75" type="#_x0000_t75" style="height:39.5pt;width:143.35pt;" o:ole="t" filled="f" o:preferrelative="t" stroked="f" coordsize="21600,21600">
                  <v:path/>
                  <v:fill on="f" focussize="0,0"/>
                  <v:stroke on="f" joinstyle="miter"/>
                  <v:imagedata r:id="rId35" o:title=""/>
                  <o:lock v:ext="edit" aspectratio="t"/>
                  <w10:wrap type="none"/>
                  <w10:anchorlock/>
                </v:shape>
                <o:OLEObject Type="Embed" ProgID="Equation.3" ShapeID="_x0000_i1031" DrawAspect="Content" ObjectID="_1468075731" r:id="rId34">
                  <o:LockedField>false</o:LockedField>
                </o:OLEObject>
              </w:object>
            </w:r>
          </w:p>
          <w:p>
            <w:pPr>
              <w:pStyle w:val="105"/>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eqg</w:t>
            </w:r>
            <w:r>
              <w:rPr>
                <w:rFonts w:hint="default" w:ascii="Times New Roman" w:hAnsi="Times New Roman" w:eastAsia="宋体" w:cs="Times New Roman"/>
                <w:b w:val="0"/>
                <w:bCs w:val="0"/>
                <w:color w:val="auto"/>
                <w:spacing w:val="0"/>
                <w:position w:val="0"/>
                <w:sz w:val="24"/>
                <w:szCs w:val="24"/>
              </w:rPr>
              <w:t>—建设项目声源在预测点的等效声级贡献值，dB(A</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w:t>
            </w:r>
          </w:p>
          <w:p>
            <w:pPr>
              <w:pStyle w:val="105"/>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L</w:t>
            </w:r>
            <w:r>
              <w:rPr>
                <w:rFonts w:hint="default" w:ascii="Times New Roman" w:hAnsi="Times New Roman" w:eastAsia="宋体" w:cs="Times New Roman"/>
                <w:b w:val="0"/>
                <w:bCs w:val="0"/>
                <w:color w:val="auto"/>
                <w:spacing w:val="0"/>
                <w:position w:val="0"/>
                <w:sz w:val="24"/>
                <w:szCs w:val="24"/>
                <w:vertAlign w:val="subscript"/>
              </w:rPr>
              <w:t>Ai</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声源在预测点产生的A声级，dB(A</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w:t>
            </w:r>
          </w:p>
          <w:p>
            <w:pPr>
              <w:pStyle w:val="105"/>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T</w:t>
            </w:r>
            <w:r>
              <w:rPr>
                <w:rFonts w:hint="default" w:ascii="Times New Roman" w:hAnsi="Times New Roman" w:eastAsia="宋体" w:cs="Times New Roman"/>
                <w:b w:val="0"/>
                <w:bCs w:val="0"/>
                <w:color w:val="auto"/>
                <w:spacing w:val="0"/>
                <w:position w:val="0"/>
                <w:sz w:val="24"/>
                <w:szCs w:val="24"/>
              </w:rPr>
              <w:t>—预测计算的时间段，s；</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t</w:t>
            </w:r>
            <w:r>
              <w:rPr>
                <w:rFonts w:hint="default" w:ascii="Times New Roman" w:hAnsi="Times New Roman" w:eastAsia="宋体" w:cs="Times New Roman"/>
                <w:b w:val="0"/>
                <w:bCs w:val="0"/>
                <w:color w:val="auto"/>
                <w:spacing w:val="0"/>
                <w:position w:val="0"/>
                <w:sz w:val="24"/>
                <w:szCs w:val="24"/>
                <w:vertAlign w:val="subscript"/>
              </w:rPr>
              <w:t>i</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声源在T时段内的运行时间，s。</w:t>
            </w:r>
          </w:p>
          <w:p>
            <w:pPr>
              <w:pStyle w:val="105"/>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预测点的预测等效声级</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w:t>
            </w:r>
            <w:r>
              <w:rPr>
                <w:rFonts w:hint="eastAsia" w:ascii="Times New Roman" w:hAnsi="Times New Roman" w:eastAsia="宋体" w:cs="Times New Roman"/>
                <w:b w:val="0"/>
                <w:bCs w:val="0"/>
                <w:color w:val="auto"/>
                <w:spacing w:val="0"/>
                <w:position w:val="0"/>
                <w:sz w:val="24"/>
                <w:szCs w:val="24"/>
                <w:vertAlign w:val="subscript"/>
                <w:lang w:eastAsia="zh-CN"/>
              </w:rPr>
              <w:t>）</w:t>
            </w:r>
            <w:r>
              <w:rPr>
                <w:rFonts w:hint="default" w:ascii="Times New Roman" w:hAnsi="Times New Roman" w:eastAsia="宋体" w:cs="Times New Roman"/>
                <w:b w:val="0"/>
                <w:bCs w:val="0"/>
                <w:color w:val="auto"/>
                <w:spacing w:val="0"/>
                <w:position w:val="0"/>
                <w:sz w:val="24"/>
                <w:szCs w:val="24"/>
              </w:rPr>
              <w:t xml:space="preserve">计算公式： </w:t>
            </w:r>
          </w:p>
          <w:p>
            <w:pPr>
              <w:autoSpaceDE w:val="0"/>
              <w:autoSpaceDN w:val="0"/>
              <w:spacing w:line="360" w:lineRule="auto"/>
              <w:ind w:firstLine="480"/>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object>
                <v:shape id="_x0000_i1032" o:spt="75" type="#_x0000_t75" style="height:24.85pt;width:183.5pt;" o:ole="t" filled="f" o:preferrelative="t" stroked="f" coordsize="21600,21600">
                  <v:path/>
                  <v:fill on="f" focussize="0,0"/>
                  <v:stroke on="f" joinstyle="miter"/>
                  <v:imagedata r:id="rId37" o:title=""/>
                  <o:lock v:ext="edit" aspectratio="t"/>
                  <w10:wrap type="none"/>
                  <w10:anchorlock/>
                </v:shape>
                <o:OLEObject Type="Embed" ProgID="Equation.3" ShapeID="_x0000_i1032" DrawAspect="Content" ObjectID="_1468075732" r:id="rId36">
                  <o:LockedField>false</o:LockedField>
                </o:OLEObject>
              </w:object>
            </w:r>
          </w:p>
          <w:p>
            <w:pPr>
              <w:pStyle w:val="105"/>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eqg</w:t>
            </w:r>
            <w:r>
              <w:rPr>
                <w:rFonts w:hint="default" w:ascii="Times New Roman" w:hAnsi="Times New Roman" w:eastAsia="宋体" w:cs="Times New Roman"/>
                <w:b w:val="0"/>
                <w:bCs w:val="0"/>
                <w:color w:val="auto"/>
                <w:spacing w:val="0"/>
                <w:position w:val="0"/>
                <w:sz w:val="24"/>
                <w:szCs w:val="24"/>
              </w:rPr>
              <w:t>—建设项目声源在预测点的等效声级贡献值，dB(A</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 xml:space="preserve">； </w:t>
            </w:r>
          </w:p>
          <w:p>
            <w:pPr>
              <w:pStyle w:val="48"/>
              <w:spacing w:line="360" w:lineRule="auto"/>
              <w:ind w:firstLine="480"/>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eqb</w:t>
            </w:r>
            <w:r>
              <w:rPr>
                <w:rFonts w:hint="default" w:ascii="Times New Roman" w:hAnsi="Times New Roman" w:eastAsia="宋体" w:cs="Times New Roman"/>
                <w:b w:val="0"/>
                <w:bCs w:val="0"/>
                <w:color w:val="auto"/>
                <w:spacing w:val="0"/>
                <w:position w:val="0"/>
                <w:sz w:val="24"/>
                <w:szCs w:val="24"/>
              </w:rPr>
              <w:t>—预测点的背景值，dB(A</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w:t>
            </w:r>
          </w:p>
          <w:p>
            <w:pPr>
              <w:spacing w:line="360" w:lineRule="auto"/>
              <w:ind w:firstLine="480" w:firstLineChars="200"/>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⑤户外声传播衰减计算</w:t>
            </w:r>
          </w:p>
          <w:p>
            <w:pPr>
              <w:spacing w:line="360" w:lineRule="auto"/>
              <w:ind w:firstLine="480" w:firstLineChars="200"/>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户外声传播衰减包括几何发散（A</w:t>
            </w:r>
            <w:r>
              <w:rPr>
                <w:rFonts w:hint="default" w:ascii="Times New Roman" w:hAnsi="Times New Roman" w:eastAsia="宋体" w:cs="Times New Roman"/>
                <w:b w:val="0"/>
                <w:bCs w:val="0"/>
                <w:color w:val="auto"/>
                <w:spacing w:val="0"/>
                <w:position w:val="0"/>
                <w:sz w:val="24"/>
                <w:szCs w:val="24"/>
                <w:vertAlign w:val="subscript"/>
              </w:rPr>
              <w:t>div</w:t>
            </w:r>
            <w:r>
              <w:rPr>
                <w:rFonts w:hint="default" w:ascii="Times New Roman" w:hAnsi="Times New Roman" w:eastAsia="宋体" w:cs="Times New Roman"/>
                <w:b w:val="0"/>
                <w:bCs w:val="0"/>
                <w:color w:val="auto"/>
                <w:spacing w:val="0"/>
                <w:position w:val="0"/>
                <w:sz w:val="24"/>
                <w:szCs w:val="24"/>
              </w:rPr>
              <w:t>）、大气吸收（A</w:t>
            </w:r>
            <w:r>
              <w:rPr>
                <w:rFonts w:hint="default" w:ascii="Times New Roman" w:hAnsi="Times New Roman" w:eastAsia="宋体" w:cs="Times New Roman"/>
                <w:b w:val="0"/>
                <w:bCs w:val="0"/>
                <w:color w:val="auto"/>
                <w:spacing w:val="0"/>
                <w:position w:val="0"/>
                <w:sz w:val="24"/>
                <w:szCs w:val="24"/>
                <w:vertAlign w:val="subscript"/>
              </w:rPr>
              <w:t>atm</w:t>
            </w:r>
            <w:r>
              <w:rPr>
                <w:rFonts w:hint="default" w:ascii="Times New Roman" w:hAnsi="Times New Roman" w:eastAsia="宋体" w:cs="Times New Roman"/>
                <w:b w:val="0"/>
                <w:bCs w:val="0"/>
                <w:color w:val="auto"/>
                <w:spacing w:val="0"/>
                <w:position w:val="0"/>
                <w:sz w:val="24"/>
                <w:szCs w:val="24"/>
              </w:rPr>
              <w:t>）、地面效应（A</w:t>
            </w:r>
            <w:r>
              <w:rPr>
                <w:rFonts w:hint="default" w:ascii="Times New Roman" w:hAnsi="Times New Roman" w:eastAsia="宋体" w:cs="Times New Roman"/>
                <w:b w:val="0"/>
                <w:bCs w:val="0"/>
                <w:color w:val="auto"/>
                <w:spacing w:val="0"/>
                <w:position w:val="0"/>
                <w:sz w:val="24"/>
                <w:szCs w:val="24"/>
                <w:vertAlign w:val="subscript"/>
              </w:rPr>
              <w:t>gr</w:t>
            </w:r>
            <w:r>
              <w:rPr>
                <w:rFonts w:hint="default" w:ascii="Times New Roman" w:hAnsi="Times New Roman" w:eastAsia="宋体" w:cs="Times New Roman"/>
                <w:b w:val="0"/>
                <w:bCs w:val="0"/>
                <w:color w:val="auto"/>
                <w:spacing w:val="0"/>
                <w:position w:val="0"/>
                <w:sz w:val="24"/>
                <w:szCs w:val="24"/>
              </w:rPr>
              <w:t>）、屏障屏蔽（A</w:t>
            </w:r>
            <w:r>
              <w:rPr>
                <w:rFonts w:hint="default" w:ascii="Times New Roman" w:hAnsi="Times New Roman" w:eastAsia="宋体" w:cs="Times New Roman"/>
                <w:b w:val="0"/>
                <w:bCs w:val="0"/>
                <w:color w:val="auto"/>
                <w:spacing w:val="0"/>
                <w:position w:val="0"/>
                <w:sz w:val="24"/>
                <w:szCs w:val="24"/>
                <w:vertAlign w:val="subscript"/>
              </w:rPr>
              <w:t>bar</w:t>
            </w:r>
            <w:r>
              <w:rPr>
                <w:rFonts w:hint="default" w:ascii="Times New Roman" w:hAnsi="Times New Roman" w:eastAsia="宋体" w:cs="Times New Roman"/>
                <w:b w:val="0"/>
                <w:bCs w:val="0"/>
                <w:color w:val="auto"/>
                <w:spacing w:val="0"/>
                <w:position w:val="0"/>
                <w:sz w:val="24"/>
                <w:szCs w:val="24"/>
              </w:rPr>
              <w:t>）、其他多方面效应（A</w:t>
            </w:r>
            <w:r>
              <w:rPr>
                <w:rFonts w:hint="default" w:ascii="Times New Roman" w:hAnsi="Times New Roman" w:eastAsia="宋体" w:cs="Times New Roman"/>
                <w:b w:val="0"/>
                <w:bCs w:val="0"/>
                <w:color w:val="auto"/>
                <w:spacing w:val="0"/>
                <w:position w:val="0"/>
                <w:sz w:val="24"/>
                <w:szCs w:val="24"/>
                <w:vertAlign w:val="subscript"/>
              </w:rPr>
              <w:t>misc</w:t>
            </w:r>
            <w:r>
              <w:rPr>
                <w:rFonts w:hint="default" w:ascii="Times New Roman" w:hAnsi="Times New Roman" w:eastAsia="宋体" w:cs="Times New Roman"/>
                <w:b w:val="0"/>
                <w:bCs w:val="0"/>
                <w:color w:val="auto"/>
                <w:spacing w:val="0"/>
                <w:position w:val="0"/>
                <w:sz w:val="24"/>
                <w:szCs w:val="24"/>
              </w:rPr>
              <w:t>）引起的衰减。</w:t>
            </w:r>
          </w:p>
          <w:p>
            <w:pPr>
              <w:spacing w:line="360" w:lineRule="auto"/>
              <w:ind w:firstLine="480" w:firstLineChars="200"/>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距声源点r处的A声级按下式计算：</w:t>
            </w:r>
          </w:p>
          <w:p>
            <w:pPr>
              <w:spacing w:line="360" w:lineRule="auto"/>
              <w:jc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drawing>
                <wp:inline distT="0" distB="0" distL="0" distR="0">
                  <wp:extent cx="3932555" cy="331470"/>
                  <wp:effectExtent l="0" t="0" r="10795" b="11430"/>
                  <wp:docPr id="31" name="图片 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44"/>
                          <pic:cNvPicPr>
                            <a:picLocks noChangeAspect="1" noChangeArrowheads="1"/>
                          </pic:cNvPicPr>
                        </pic:nvPicPr>
                        <pic:blipFill>
                          <a:blip r:embed="rId38"/>
                          <a:srcRect/>
                          <a:stretch>
                            <a:fillRect/>
                          </a:stretch>
                        </pic:blipFill>
                        <pic:spPr>
                          <a:xfrm>
                            <a:off x="0" y="0"/>
                            <a:ext cx="3932555" cy="331470"/>
                          </a:xfrm>
                          <a:prstGeom prst="rect">
                            <a:avLst/>
                          </a:prstGeom>
                          <a:noFill/>
                          <a:ln w="9525">
                            <a:noFill/>
                            <a:miter lim="800000"/>
                            <a:headEnd/>
                            <a:tailEnd/>
                          </a:ln>
                        </pic:spPr>
                      </pic:pic>
                    </a:graphicData>
                  </a:graphic>
                </wp:inline>
              </w:drawing>
            </w:r>
          </w:p>
          <w:p>
            <w:pPr>
              <w:keepNext w:val="0"/>
              <w:keepLines w:val="0"/>
              <w:pageBreakBefore w:val="0"/>
              <w:kinsoku/>
              <w:overflowPunct/>
              <w:topLinePunct w:val="0"/>
              <w:bidi w:val="0"/>
              <w:spacing w:line="360" w:lineRule="auto"/>
              <w:ind w:firstLine="480" w:firstLineChars="200"/>
              <w:jc w:val="left"/>
              <w:rPr>
                <w:rFonts w:ascii="Times New Roman" w:hAnsi="Times New Roman" w:eastAsia="宋体" w:cs="Times New Roman"/>
                <w:b/>
                <w:bCs/>
                <w:color w:val="auto"/>
                <w:sz w:val="21"/>
                <w:szCs w:val="21"/>
                <w:lang w:val="zh-CN"/>
              </w:rPr>
            </w:pPr>
            <w:r>
              <w:rPr>
                <w:rFonts w:hint="default" w:ascii="Times New Roman" w:hAnsi="Times New Roman" w:eastAsia="宋体" w:cs="Times New Roman"/>
                <w:b w:val="0"/>
                <w:bCs w:val="0"/>
                <w:color w:val="auto"/>
                <w:spacing w:val="0"/>
                <w:position w:val="0"/>
                <w:sz w:val="24"/>
                <w:szCs w:val="24"/>
              </w:rPr>
              <w:t>在预测中考虑反射引起的修正、屏障引起的衰减、双绕射、室内声源等效室外声源等影响和计算方法。</w:t>
            </w:r>
          </w:p>
          <w:p>
            <w:pPr>
              <w:keepNext w:val="0"/>
              <w:keepLines w:val="0"/>
              <w:pageBreakBefore w:val="0"/>
              <w:kinsoku/>
              <w:overflowPunct/>
              <w:topLinePunct w:val="0"/>
              <w:bidi w:val="0"/>
              <w:spacing w:line="360" w:lineRule="auto"/>
              <w:ind w:firstLine="482" w:firstLineChars="200"/>
              <w:jc w:val="center"/>
              <w:rPr>
                <w:rFonts w:hint="default" w:ascii="Times New Roman" w:hAnsi="Times New Roman" w:eastAsia="宋体" w:cs="Times New Roman"/>
                <w:b/>
                <w:bCs/>
                <w:color w:val="auto"/>
                <w:sz w:val="24"/>
                <w:szCs w:val="24"/>
                <w:lang w:val="en-US" w:eastAsia="zh-CN"/>
              </w:rPr>
            </w:pPr>
            <w:r>
              <w:rPr>
                <w:rFonts w:ascii="Times New Roman" w:hAnsi="Times New Roman" w:eastAsia="宋体" w:cs="Times New Roman"/>
                <w:b/>
                <w:bCs/>
                <w:color w:val="auto"/>
                <w:sz w:val="24"/>
                <w:szCs w:val="24"/>
                <w:lang w:val="zh-CN"/>
              </w:rPr>
              <w:t>表4-</w:t>
            </w:r>
            <w:r>
              <w:rPr>
                <w:rFonts w:hint="eastAsia" w:cs="Times New Roman"/>
                <w:b/>
                <w:bCs/>
                <w:color w:val="auto"/>
                <w:sz w:val="24"/>
                <w:szCs w:val="24"/>
                <w:lang w:val="en-US" w:eastAsia="zh-CN"/>
              </w:rPr>
              <w:t>9</w:t>
            </w:r>
            <w:r>
              <w:rPr>
                <w:rFonts w:ascii="Times New Roman" w:hAnsi="Times New Roman" w:eastAsia="宋体" w:cs="Times New Roman"/>
                <w:b/>
                <w:bCs/>
                <w:color w:val="auto"/>
                <w:sz w:val="24"/>
                <w:szCs w:val="24"/>
                <w:lang w:val="zh-CN"/>
              </w:rPr>
              <w:t xml:space="preserve"> 主要噪声</w:t>
            </w:r>
            <w:r>
              <w:rPr>
                <w:rFonts w:hint="eastAsia" w:ascii="Times New Roman" w:hAnsi="Times New Roman" w:eastAsia="宋体" w:cs="Times New Roman"/>
                <w:b/>
                <w:bCs/>
                <w:color w:val="auto"/>
                <w:sz w:val="24"/>
                <w:szCs w:val="24"/>
                <w:lang w:val="en-US" w:eastAsia="zh-CN"/>
              </w:rPr>
              <w:t>影响预测结果</w:t>
            </w:r>
          </w:p>
          <w:tbl>
            <w:tblPr>
              <w:tblStyle w:val="30"/>
              <w:tblW w:w="866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2"/>
              <w:gridCol w:w="829"/>
              <w:gridCol w:w="830"/>
              <w:gridCol w:w="762"/>
              <w:gridCol w:w="761"/>
              <w:gridCol w:w="762"/>
              <w:gridCol w:w="751"/>
              <w:gridCol w:w="777"/>
              <w:gridCol w:w="742"/>
              <w:gridCol w:w="782"/>
              <w:gridCol w:w="77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92" w:type="dxa"/>
                  <w:vMerge w:val="restart"/>
                  <w:noWrap w:val="0"/>
                  <w:vAlign w:val="center"/>
                </w:tcPr>
                <w:p>
                  <w:pPr>
                    <w:snapToGrid w:val="0"/>
                    <w:jc w:val="center"/>
                    <w:rPr>
                      <w:b/>
                      <w:bCs/>
                      <w:color w:val="auto"/>
                      <w:szCs w:val="21"/>
                    </w:rPr>
                  </w:pPr>
                  <w:r>
                    <w:rPr>
                      <w:b/>
                      <w:bCs/>
                      <w:color w:val="auto"/>
                      <w:szCs w:val="21"/>
                      <w:lang w:bidi="ar"/>
                    </w:rPr>
                    <w:t>预测点</w:t>
                  </w:r>
                </w:p>
              </w:tc>
              <w:tc>
                <w:tcPr>
                  <w:tcW w:w="1659" w:type="dxa"/>
                  <w:gridSpan w:val="2"/>
                  <w:noWrap w:val="0"/>
                  <w:vAlign w:val="center"/>
                </w:tcPr>
                <w:p>
                  <w:pPr>
                    <w:snapToGrid w:val="0"/>
                    <w:jc w:val="center"/>
                    <w:rPr>
                      <w:b/>
                      <w:bCs/>
                      <w:color w:val="auto"/>
                      <w:szCs w:val="21"/>
                    </w:rPr>
                  </w:pPr>
                  <w:r>
                    <w:rPr>
                      <w:b/>
                      <w:bCs/>
                      <w:color w:val="auto"/>
                      <w:szCs w:val="21"/>
                      <w:lang w:bidi="ar"/>
                    </w:rPr>
                    <w:t>贡献值/dB（A）</w:t>
                  </w:r>
                </w:p>
              </w:tc>
              <w:tc>
                <w:tcPr>
                  <w:tcW w:w="1523" w:type="dxa"/>
                  <w:gridSpan w:val="2"/>
                  <w:noWrap w:val="0"/>
                  <w:vAlign w:val="center"/>
                </w:tcPr>
                <w:p>
                  <w:pPr>
                    <w:snapToGrid w:val="0"/>
                    <w:jc w:val="center"/>
                    <w:rPr>
                      <w:rFonts w:hint="eastAsia" w:eastAsia="宋体"/>
                      <w:b/>
                      <w:bCs/>
                      <w:color w:val="auto"/>
                      <w:szCs w:val="21"/>
                      <w:lang w:val="en-US" w:eastAsia="zh-CN" w:bidi="ar"/>
                    </w:rPr>
                  </w:pPr>
                  <w:r>
                    <w:rPr>
                      <w:rFonts w:hint="eastAsia"/>
                      <w:b/>
                      <w:bCs/>
                      <w:color w:val="auto"/>
                      <w:szCs w:val="21"/>
                      <w:lang w:val="en-US" w:eastAsia="zh-CN" w:bidi="ar"/>
                    </w:rPr>
                    <w:t>背景值</w:t>
                  </w:r>
                  <w:r>
                    <w:rPr>
                      <w:b/>
                      <w:bCs/>
                      <w:color w:val="auto"/>
                      <w:szCs w:val="21"/>
                      <w:lang w:bidi="ar"/>
                    </w:rPr>
                    <w:t>/dB（A）</w:t>
                  </w:r>
                </w:p>
              </w:tc>
              <w:tc>
                <w:tcPr>
                  <w:tcW w:w="1513" w:type="dxa"/>
                  <w:gridSpan w:val="2"/>
                  <w:noWrap w:val="0"/>
                  <w:vAlign w:val="center"/>
                </w:tcPr>
                <w:p>
                  <w:pPr>
                    <w:snapToGrid w:val="0"/>
                    <w:jc w:val="center"/>
                    <w:rPr>
                      <w:rFonts w:hint="default"/>
                      <w:b/>
                      <w:bCs/>
                      <w:color w:val="auto"/>
                      <w:szCs w:val="21"/>
                      <w:lang w:val="en-US" w:eastAsia="zh-CN" w:bidi="ar"/>
                    </w:rPr>
                  </w:pPr>
                  <w:r>
                    <w:rPr>
                      <w:rFonts w:hint="eastAsia"/>
                      <w:b/>
                      <w:bCs/>
                      <w:color w:val="auto"/>
                      <w:szCs w:val="21"/>
                      <w:lang w:val="en-US" w:eastAsia="zh-CN" w:bidi="ar"/>
                    </w:rPr>
                    <w:t>叠加值</w:t>
                  </w:r>
                  <w:r>
                    <w:rPr>
                      <w:b/>
                      <w:bCs/>
                      <w:color w:val="auto"/>
                      <w:szCs w:val="21"/>
                      <w:lang w:bidi="ar"/>
                    </w:rPr>
                    <w:t>/dB（A）</w:t>
                  </w:r>
                </w:p>
              </w:tc>
              <w:tc>
                <w:tcPr>
                  <w:tcW w:w="1519" w:type="dxa"/>
                  <w:gridSpan w:val="2"/>
                  <w:noWrap w:val="0"/>
                  <w:vAlign w:val="center"/>
                </w:tcPr>
                <w:p>
                  <w:pPr>
                    <w:snapToGrid w:val="0"/>
                    <w:jc w:val="center"/>
                    <w:rPr>
                      <w:b/>
                      <w:bCs/>
                      <w:color w:val="auto"/>
                      <w:szCs w:val="21"/>
                    </w:rPr>
                  </w:pPr>
                  <w:r>
                    <w:rPr>
                      <w:b/>
                      <w:bCs/>
                      <w:color w:val="auto"/>
                      <w:szCs w:val="21"/>
                      <w:lang w:bidi="ar"/>
                    </w:rPr>
                    <w:t>噪声标准/dB（A）</w:t>
                  </w:r>
                </w:p>
              </w:tc>
              <w:tc>
                <w:tcPr>
                  <w:tcW w:w="1557" w:type="dxa"/>
                  <w:gridSpan w:val="2"/>
                  <w:noWrap w:val="0"/>
                  <w:vAlign w:val="center"/>
                </w:tcPr>
                <w:p>
                  <w:pPr>
                    <w:snapToGrid w:val="0"/>
                    <w:jc w:val="center"/>
                    <w:rPr>
                      <w:b/>
                      <w:bCs/>
                      <w:color w:val="auto"/>
                      <w:szCs w:val="21"/>
                    </w:rPr>
                  </w:pPr>
                  <w:r>
                    <w:rPr>
                      <w:b/>
                      <w:bCs/>
                      <w:color w:val="auto"/>
                      <w:szCs w:val="21"/>
                      <w:lang w:bidi="ar"/>
                    </w:rPr>
                    <w:t>超标和达标情况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vMerge w:val="continue"/>
                  <w:noWrap w:val="0"/>
                  <w:vAlign w:val="center"/>
                </w:tcPr>
                <w:p>
                  <w:pPr>
                    <w:rPr>
                      <w:rFonts w:eastAsia="等线"/>
                      <w:color w:val="auto"/>
                      <w:sz w:val="20"/>
                      <w:szCs w:val="20"/>
                    </w:rPr>
                  </w:pPr>
                </w:p>
              </w:tc>
              <w:tc>
                <w:tcPr>
                  <w:tcW w:w="829" w:type="dxa"/>
                  <w:noWrap w:val="0"/>
                  <w:vAlign w:val="center"/>
                </w:tcPr>
                <w:p>
                  <w:pPr>
                    <w:snapToGrid w:val="0"/>
                    <w:jc w:val="center"/>
                    <w:rPr>
                      <w:rFonts w:hint="default" w:eastAsia="宋体"/>
                      <w:b/>
                      <w:bCs/>
                      <w:color w:val="auto"/>
                      <w:szCs w:val="21"/>
                      <w:lang w:val="en-US" w:eastAsia="zh-CN"/>
                    </w:rPr>
                  </w:pPr>
                  <w:r>
                    <w:rPr>
                      <w:rFonts w:hint="eastAsia"/>
                      <w:b/>
                      <w:bCs/>
                      <w:color w:val="auto"/>
                      <w:szCs w:val="21"/>
                    </w:rPr>
                    <w:t>昼间</w:t>
                  </w:r>
                </w:p>
              </w:tc>
              <w:tc>
                <w:tcPr>
                  <w:tcW w:w="830" w:type="dxa"/>
                  <w:noWrap w:val="0"/>
                  <w:vAlign w:val="center"/>
                </w:tcPr>
                <w:p>
                  <w:pPr>
                    <w:snapToGrid w:val="0"/>
                    <w:jc w:val="center"/>
                    <w:rPr>
                      <w:rFonts w:hint="eastAsia"/>
                      <w:b/>
                      <w:bCs/>
                      <w:color w:val="auto"/>
                      <w:szCs w:val="21"/>
                    </w:rPr>
                  </w:pPr>
                  <w:r>
                    <w:rPr>
                      <w:rFonts w:hint="eastAsia"/>
                      <w:b/>
                      <w:bCs/>
                      <w:color w:val="auto"/>
                      <w:szCs w:val="21"/>
                      <w:lang w:val="en-US" w:eastAsia="zh-CN"/>
                    </w:rPr>
                    <w:t>夜</w:t>
                  </w:r>
                  <w:r>
                    <w:rPr>
                      <w:rFonts w:hint="eastAsia"/>
                      <w:b/>
                      <w:bCs/>
                      <w:color w:val="auto"/>
                      <w:szCs w:val="21"/>
                    </w:rPr>
                    <w:t>间</w:t>
                  </w:r>
                </w:p>
              </w:tc>
              <w:tc>
                <w:tcPr>
                  <w:tcW w:w="762" w:type="dxa"/>
                  <w:noWrap w:val="0"/>
                  <w:vAlign w:val="center"/>
                </w:tcPr>
                <w:p>
                  <w:pPr>
                    <w:snapToGrid w:val="0"/>
                    <w:jc w:val="center"/>
                    <w:rPr>
                      <w:rFonts w:hint="eastAsia"/>
                      <w:b/>
                      <w:bCs/>
                      <w:color w:val="auto"/>
                      <w:szCs w:val="21"/>
                    </w:rPr>
                  </w:pPr>
                  <w:r>
                    <w:rPr>
                      <w:rFonts w:hint="eastAsia"/>
                      <w:b/>
                      <w:bCs/>
                      <w:color w:val="auto"/>
                      <w:szCs w:val="21"/>
                    </w:rPr>
                    <w:t>昼间</w:t>
                  </w:r>
                </w:p>
              </w:tc>
              <w:tc>
                <w:tcPr>
                  <w:tcW w:w="761" w:type="dxa"/>
                  <w:noWrap w:val="0"/>
                  <w:vAlign w:val="center"/>
                </w:tcPr>
                <w:p>
                  <w:pPr>
                    <w:snapToGrid w:val="0"/>
                    <w:jc w:val="center"/>
                    <w:rPr>
                      <w:rFonts w:hint="eastAsia"/>
                      <w:b/>
                      <w:bCs/>
                      <w:color w:val="auto"/>
                      <w:szCs w:val="21"/>
                    </w:rPr>
                  </w:pPr>
                  <w:r>
                    <w:rPr>
                      <w:rFonts w:hint="eastAsia"/>
                      <w:b/>
                      <w:bCs/>
                      <w:color w:val="auto"/>
                      <w:szCs w:val="21"/>
                      <w:lang w:val="en-US" w:eastAsia="zh-CN"/>
                    </w:rPr>
                    <w:t>夜</w:t>
                  </w:r>
                  <w:r>
                    <w:rPr>
                      <w:rFonts w:hint="eastAsia"/>
                      <w:b/>
                      <w:bCs/>
                      <w:color w:val="auto"/>
                      <w:szCs w:val="21"/>
                    </w:rPr>
                    <w:t>间</w:t>
                  </w:r>
                </w:p>
              </w:tc>
              <w:tc>
                <w:tcPr>
                  <w:tcW w:w="762" w:type="dxa"/>
                  <w:noWrap w:val="0"/>
                  <w:vAlign w:val="center"/>
                </w:tcPr>
                <w:p>
                  <w:pPr>
                    <w:snapToGrid w:val="0"/>
                    <w:jc w:val="center"/>
                    <w:rPr>
                      <w:b/>
                      <w:bCs/>
                      <w:color w:val="auto"/>
                      <w:szCs w:val="21"/>
                    </w:rPr>
                  </w:pPr>
                  <w:r>
                    <w:rPr>
                      <w:rFonts w:hint="eastAsia"/>
                      <w:b/>
                      <w:bCs/>
                      <w:color w:val="auto"/>
                      <w:szCs w:val="21"/>
                    </w:rPr>
                    <w:t>昼间</w:t>
                  </w:r>
                </w:p>
              </w:tc>
              <w:tc>
                <w:tcPr>
                  <w:tcW w:w="751" w:type="dxa"/>
                  <w:noWrap w:val="0"/>
                  <w:vAlign w:val="center"/>
                </w:tcPr>
                <w:p>
                  <w:pPr>
                    <w:snapToGrid w:val="0"/>
                    <w:jc w:val="center"/>
                    <w:rPr>
                      <w:b/>
                      <w:bCs/>
                      <w:color w:val="auto"/>
                      <w:szCs w:val="21"/>
                    </w:rPr>
                  </w:pPr>
                  <w:r>
                    <w:rPr>
                      <w:rFonts w:hint="eastAsia"/>
                      <w:b/>
                      <w:bCs/>
                      <w:color w:val="auto"/>
                      <w:szCs w:val="21"/>
                      <w:lang w:val="en-US" w:eastAsia="zh-CN"/>
                    </w:rPr>
                    <w:t>夜</w:t>
                  </w:r>
                  <w:r>
                    <w:rPr>
                      <w:rFonts w:hint="eastAsia"/>
                      <w:b/>
                      <w:bCs/>
                      <w:color w:val="auto"/>
                      <w:szCs w:val="21"/>
                    </w:rPr>
                    <w:t>间</w:t>
                  </w:r>
                </w:p>
              </w:tc>
              <w:tc>
                <w:tcPr>
                  <w:tcW w:w="777" w:type="dxa"/>
                  <w:noWrap w:val="0"/>
                  <w:vAlign w:val="center"/>
                </w:tcPr>
                <w:p>
                  <w:pPr>
                    <w:snapToGrid w:val="0"/>
                    <w:jc w:val="center"/>
                    <w:rPr>
                      <w:rFonts w:hint="eastAsia"/>
                      <w:b/>
                      <w:bCs/>
                      <w:color w:val="auto"/>
                      <w:szCs w:val="21"/>
                    </w:rPr>
                  </w:pPr>
                  <w:r>
                    <w:rPr>
                      <w:rFonts w:hint="eastAsia"/>
                      <w:b/>
                      <w:bCs/>
                      <w:color w:val="auto"/>
                      <w:szCs w:val="21"/>
                    </w:rPr>
                    <w:t>昼间</w:t>
                  </w:r>
                </w:p>
              </w:tc>
              <w:tc>
                <w:tcPr>
                  <w:tcW w:w="742" w:type="dxa"/>
                  <w:noWrap w:val="0"/>
                  <w:vAlign w:val="center"/>
                </w:tcPr>
                <w:p>
                  <w:pPr>
                    <w:snapToGrid w:val="0"/>
                    <w:jc w:val="center"/>
                    <w:rPr>
                      <w:rFonts w:hint="eastAsia"/>
                      <w:b/>
                      <w:bCs/>
                      <w:color w:val="auto"/>
                      <w:szCs w:val="21"/>
                    </w:rPr>
                  </w:pPr>
                  <w:r>
                    <w:rPr>
                      <w:rFonts w:hint="eastAsia"/>
                      <w:b/>
                      <w:bCs/>
                      <w:color w:val="auto"/>
                      <w:szCs w:val="21"/>
                      <w:lang w:val="en-US" w:eastAsia="zh-CN"/>
                    </w:rPr>
                    <w:t>夜</w:t>
                  </w:r>
                  <w:r>
                    <w:rPr>
                      <w:rFonts w:hint="eastAsia"/>
                      <w:b/>
                      <w:bCs/>
                      <w:color w:val="auto"/>
                      <w:szCs w:val="21"/>
                    </w:rPr>
                    <w:t>间</w:t>
                  </w:r>
                </w:p>
              </w:tc>
              <w:tc>
                <w:tcPr>
                  <w:tcW w:w="782" w:type="dxa"/>
                  <w:noWrap w:val="0"/>
                  <w:vAlign w:val="center"/>
                </w:tcPr>
                <w:p>
                  <w:pPr>
                    <w:snapToGrid w:val="0"/>
                    <w:jc w:val="center"/>
                    <w:rPr>
                      <w:rFonts w:hint="eastAsia"/>
                      <w:b/>
                      <w:bCs/>
                      <w:color w:val="auto"/>
                      <w:szCs w:val="21"/>
                    </w:rPr>
                  </w:pPr>
                  <w:r>
                    <w:rPr>
                      <w:rFonts w:hint="eastAsia"/>
                      <w:b/>
                      <w:bCs/>
                      <w:color w:val="auto"/>
                      <w:szCs w:val="21"/>
                    </w:rPr>
                    <w:t>昼间</w:t>
                  </w:r>
                </w:p>
              </w:tc>
              <w:tc>
                <w:tcPr>
                  <w:tcW w:w="775" w:type="dxa"/>
                  <w:noWrap w:val="0"/>
                  <w:vAlign w:val="center"/>
                </w:tcPr>
                <w:p>
                  <w:pPr>
                    <w:snapToGrid w:val="0"/>
                    <w:jc w:val="center"/>
                    <w:rPr>
                      <w:rFonts w:hint="eastAsia"/>
                      <w:b/>
                      <w:bCs/>
                      <w:color w:val="auto"/>
                      <w:szCs w:val="21"/>
                    </w:rPr>
                  </w:pPr>
                  <w:r>
                    <w:rPr>
                      <w:rFonts w:hint="eastAsia"/>
                      <w:b/>
                      <w:bCs/>
                      <w:color w:val="auto"/>
                      <w:szCs w:val="21"/>
                      <w:lang w:val="en-US" w:eastAsia="zh-CN"/>
                    </w:rPr>
                    <w:t>夜</w:t>
                  </w:r>
                  <w:r>
                    <w:rPr>
                      <w:rFonts w:hint="eastAsia"/>
                      <w:b/>
                      <w:bCs/>
                      <w:color w:val="auto"/>
                      <w:szCs w:val="21"/>
                    </w:rPr>
                    <w:t>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厂界东</w:t>
                  </w:r>
                </w:p>
              </w:tc>
              <w:tc>
                <w:tcPr>
                  <w:tcW w:w="82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21.42</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21.42</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5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77"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60</w:t>
                  </w:r>
                </w:p>
              </w:tc>
              <w:tc>
                <w:tcPr>
                  <w:tcW w:w="74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厂界南</w:t>
                  </w:r>
                </w:p>
              </w:tc>
              <w:tc>
                <w:tcPr>
                  <w:tcW w:w="82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36.87</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36.87</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5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77"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60</w:t>
                  </w:r>
                </w:p>
              </w:tc>
              <w:tc>
                <w:tcPr>
                  <w:tcW w:w="74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厂界西</w:t>
                  </w:r>
                </w:p>
              </w:tc>
              <w:tc>
                <w:tcPr>
                  <w:tcW w:w="82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42.54</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42.54</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5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77"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60</w:t>
                  </w:r>
                </w:p>
              </w:tc>
              <w:tc>
                <w:tcPr>
                  <w:tcW w:w="74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厂界北</w:t>
                  </w:r>
                </w:p>
              </w:tc>
              <w:tc>
                <w:tcPr>
                  <w:tcW w:w="82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35.52</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35.52</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5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77"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60</w:t>
                  </w:r>
                </w:p>
              </w:tc>
              <w:tc>
                <w:tcPr>
                  <w:tcW w:w="74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w:t>
            </w:r>
            <w:r>
              <w:rPr>
                <w:rFonts w:hint="eastAsia" w:cs="Times New Roman"/>
                <w:bCs/>
                <w:color w:val="auto"/>
                <w:spacing w:val="-10"/>
                <w:sz w:val="24"/>
                <w:szCs w:val="24"/>
                <w:lang w:val="en-US" w:eastAsia="zh-CN"/>
              </w:rPr>
              <w:t>3</w:t>
            </w:r>
            <w:r>
              <w:rPr>
                <w:rFonts w:hint="default" w:ascii="Times New Roman" w:hAnsi="Times New Roman" w:eastAsia="宋体" w:cs="Times New Roman"/>
                <w:bCs/>
                <w:color w:val="auto"/>
                <w:spacing w:val="-10"/>
                <w:sz w:val="24"/>
                <w:szCs w:val="24"/>
                <w:lang w:val="en-US" w:eastAsia="zh-CN"/>
              </w:rPr>
              <w:t>）达标情况分析</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Cs w:val="21"/>
                <w:lang w:val="en-US" w:eastAsia="zh-CN"/>
              </w:rPr>
            </w:pPr>
            <w:r>
              <w:rPr>
                <w:rFonts w:hint="default" w:ascii="Times New Roman" w:hAnsi="Times New Roman" w:eastAsia="宋体" w:cs="Times New Roman"/>
                <w:bCs/>
                <w:color w:val="auto"/>
                <w:spacing w:val="-10"/>
                <w:sz w:val="24"/>
                <w:szCs w:val="24"/>
                <w:lang w:val="en-US" w:eastAsia="zh-CN"/>
              </w:rPr>
              <w:t>本项目</w:t>
            </w:r>
            <w:r>
              <w:rPr>
                <w:rFonts w:hint="default" w:ascii="Times New Roman" w:hAnsi="Times New Roman" w:cs="Times New Roman"/>
                <w:color w:val="auto"/>
                <w:sz w:val="24"/>
                <w:szCs w:val="24"/>
                <w:lang w:val="en-US" w:eastAsia="zh-CN"/>
              </w:rPr>
              <w:t>清粮筛、输送机、</w:t>
            </w:r>
            <w:r>
              <w:rPr>
                <w:rFonts w:hint="eastAsia" w:cs="Times New Roman"/>
                <w:color w:val="auto"/>
                <w:sz w:val="24"/>
                <w:szCs w:val="24"/>
                <w:lang w:val="en-US" w:eastAsia="zh-CN"/>
              </w:rPr>
              <w:t>提升机、</w:t>
            </w:r>
            <w:r>
              <w:rPr>
                <w:rFonts w:hint="default" w:ascii="Times New Roman" w:hAnsi="Times New Roman" w:cs="Times New Roman"/>
                <w:color w:val="auto"/>
                <w:sz w:val="24"/>
                <w:szCs w:val="24"/>
                <w:lang w:val="en-US" w:eastAsia="zh-CN"/>
              </w:rPr>
              <w:t>风机、烘干塔等</w:t>
            </w:r>
            <w:r>
              <w:rPr>
                <w:rFonts w:hint="eastAsia" w:ascii="Times New Roman" w:hAnsi="Times New Roman" w:cs="Times New Roman"/>
                <w:color w:val="auto"/>
                <w:sz w:val="24"/>
                <w:szCs w:val="24"/>
                <w:lang w:val="en-US" w:eastAsia="zh-CN"/>
              </w:rPr>
              <w:t>已</w:t>
            </w:r>
            <w:r>
              <w:rPr>
                <w:rFonts w:hint="default" w:ascii="Times New Roman" w:hAnsi="Times New Roman" w:eastAsia="宋体" w:cs="Times New Roman"/>
                <w:bCs/>
                <w:color w:val="auto"/>
                <w:spacing w:val="-10"/>
                <w:sz w:val="24"/>
                <w:szCs w:val="24"/>
                <w:lang w:val="en-US" w:eastAsia="zh-CN"/>
              </w:rPr>
              <w:t>选用低噪声设备，</w:t>
            </w:r>
            <w:r>
              <w:rPr>
                <w:rFonts w:hint="default" w:ascii="Times New Roman" w:hAnsi="Times New Roman" w:cs="Times New Roman"/>
                <w:color w:val="auto"/>
                <w:sz w:val="24"/>
                <w:szCs w:val="24"/>
                <w:lang w:val="en-US" w:eastAsia="zh-CN"/>
              </w:rPr>
              <w:t>清粮筛、烘干塔等</w:t>
            </w:r>
            <w:r>
              <w:rPr>
                <w:rFonts w:hint="default" w:ascii="Times New Roman" w:hAnsi="Times New Roman" w:eastAsia="宋体" w:cs="Times New Roman"/>
                <w:bCs/>
                <w:color w:val="auto"/>
                <w:spacing w:val="-10"/>
                <w:sz w:val="24"/>
                <w:szCs w:val="24"/>
                <w:lang w:val="en-US" w:eastAsia="zh-CN"/>
              </w:rPr>
              <w:t>噪声设备装设减振垫，风机进、出风口装设</w:t>
            </w:r>
            <w:r>
              <w:rPr>
                <w:rFonts w:hint="eastAsia" w:cs="Times New Roman"/>
                <w:bCs/>
                <w:color w:val="auto"/>
                <w:spacing w:val="-10"/>
                <w:sz w:val="24"/>
                <w:szCs w:val="24"/>
                <w:lang w:val="en-US" w:eastAsia="zh-CN"/>
              </w:rPr>
              <w:t>消声器</w:t>
            </w:r>
            <w:r>
              <w:rPr>
                <w:rFonts w:hint="default" w:ascii="Times New Roman" w:hAnsi="Times New Roman" w:eastAsia="宋体" w:cs="Times New Roman"/>
                <w:bCs/>
                <w:color w:val="auto"/>
                <w:spacing w:val="-10"/>
                <w:sz w:val="24"/>
                <w:szCs w:val="24"/>
                <w:lang w:val="en-US" w:eastAsia="zh-CN"/>
              </w:rPr>
              <w:t>，再通过厂房隔声等措施，可限制噪声向外传播，对照《工业企业噪声控制设计规范》（GB/T50087-2013）中章节“6.消声设计”及“8.隔振降噪设计”中的内容，空气动力机械进（排）气口敞开的气口装设消声器以及产生较强振动或冲击，引起固体传声及振动辐射噪声的动力设备加装减振垫等隔振措施为可行性技术</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通过上述措施</w:t>
            </w:r>
            <w:r>
              <w:rPr>
                <w:rFonts w:hint="default" w:ascii="Times New Roman" w:hAnsi="Times New Roman" w:eastAsia="宋体" w:cs="Times New Roman"/>
                <w:bCs/>
                <w:color w:val="auto"/>
                <w:spacing w:val="-10"/>
                <w:sz w:val="24"/>
                <w:szCs w:val="24"/>
                <w:lang w:val="en-US" w:eastAsia="zh-CN"/>
              </w:rPr>
              <w:t>厂界噪声排放可控制在60dB（A）以下，</w:t>
            </w:r>
            <w:r>
              <w:rPr>
                <w:rFonts w:hint="eastAsia" w:ascii="Times New Roman" w:hAnsi="Times New Roman" w:eastAsia="宋体" w:cs="Times New Roman"/>
                <w:bCs/>
                <w:color w:val="auto"/>
                <w:spacing w:val="-10"/>
                <w:sz w:val="24"/>
                <w:szCs w:val="24"/>
                <w:lang w:val="en-US" w:eastAsia="zh-CN"/>
              </w:rPr>
              <w:t>厂界东侧、西侧、北侧</w:t>
            </w:r>
            <w:r>
              <w:rPr>
                <w:rFonts w:hint="default" w:ascii="Times New Roman" w:hAnsi="Times New Roman" w:cs="Times New Roman"/>
                <w:color w:val="auto"/>
                <w:kern w:val="0"/>
                <w:sz w:val="24"/>
                <w:szCs w:val="24"/>
                <w:lang w:val="en-US" w:eastAsia="zh-CN"/>
              </w:rPr>
              <w:t>满足《工业企业厂界噪声排放标准》（GB12348-2008）中</w:t>
            </w:r>
            <w:r>
              <w:rPr>
                <w:rFonts w:hint="eastAsia" w:ascii="Times New Roman" w:hAnsi="Times New Roman" w:cs="Times New Roman"/>
                <w:color w:val="auto"/>
                <w:kern w:val="0"/>
                <w:sz w:val="24"/>
                <w:szCs w:val="24"/>
                <w:lang w:val="en-US" w:eastAsia="zh-CN"/>
              </w:rPr>
              <w:t>2</w:t>
            </w:r>
            <w:r>
              <w:rPr>
                <w:rFonts w:hint="default" w:ascii="Times New Roman" w:hAnsi="Times New Roman" w:cs="Times New Roman"/>
                <w:color w:val="auto"/>
                <w:kern w:val="0"/>
                <w:sz w:val="24"/>
                <w:szCs w:val="24"/>
                <w:lang w:val="en-US" w:eastAsia="zh-CN"/>
              </w:rPr>
              <w:t>类标准要求</w:t>
            </w:r>
            <w:r>
              <w:rPr>
                <w:rFonts w:hint="eastAsia" w:ascii="Times New Roman" w:hAnsi="Times New Roman" w:cs="Times New Roman"/>
                <w:color w:val="auto"/>
                <w:kern w:val="0"/>
                <w:sz w:val="24"/>
                <w:szCs w:val="24"/>
                <w:lang w:val="en-US" w:eastAsia="zh-CN"/>
              </w:rPr>
              <w:t>，厂界南侧满足</w:t>
            </w:r>
            <w:r>
              <w:rPr>
                <w:rFonts w:hint="default" w:ascii="Times New Roman" w:hAnsi="Times New Roman" w:cs="Times New Roman"/>
                <w:color w:val="auto"/>
                <w:kern w:val="0"/>
                <w:sz w:val="24"/>
                <w:szCs w:val="24"/>
                <w:lang w:val="en-US" w:eastAsia="zh-CN"/>
              </w:rPr>
              <w:t>《工业企业厂界噪声排放标准》（GB12348-2008）中</w:t>
            </w:r>
            <w:r>
              <w:rPr>
                <w:rFonts w:hint="eastAsia" w:ascii="Times New Roman" w:hAnsi="Times New Roman" w:cs="Times New Roman"/>
                <w:color w:val="auto"/>
                <w:kern w:val="0"/>
                <w:sz w:val="24"/>
                <w:szCs w:val="24"/>
                <w:lang w:val="en-US" w:eastAsia="zh-CN"/>
              </w:rPr>
              <w:t>4</w:t>
            </w:r>
            <w:r>
              <w:rPr>
                <w:rFonts w:hint="default" w:ascii="Times New Roman" w:hAnsi="Times New Roman" w:cs="Times New Roman"/>
                <w:color w:val="auto"/>
                <w:kern w:val="0"/>
                <w:sz w:val="24"/>
                <w:szCs w:val="24"/>
                <w:lang w:val="en-US" w:eastAsia="zh-CN"/>
              </w:rPr>
              <w:t>类标准要求</w:t>
            </w:r>
            <w:r>
              <w:rPr>
                <w:rFonts w:hint="eastAsia" w:cs="Times New Roman"/>
                <w:color w:val="auto"/>
                <w:kern w:val="0"/>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w:t>
            </w:r>
            <w:r>
              <w:rPr>
                <w:rFonts w:hint="eastAsia" w:cs="Times New Roman"/>
                <w:bCs/>
                <w:color w:val="auto"/>
                <w:spacing w:val="-10"/>
                <w:sz w:val="24"/>
                <w:szCs w:val="24"/>
                <w:highlight w:val="none"/>
                <w:lang w:val="en-US" w:eastAsia="zh-CN"/>
              </w:rPr>
              <w:t>4</w:t>
            </w:r>
            <w:r>
              <w:rPr>
                <w:rFonts w:hint="default" w:ascii="Times New Roman" w:hAnsi="Times New Roman" w:eastAsia="宋体" w:cs="Times New Roman"/>
                <w:bCs/>
                <w:color w:val="auto"/>
                <w:spacing w:val="-10"/>
                <w:sz w:val="24"/>
                <w:szCs w:val="24"/>
                <w:highlight w:val="none"/>
                <w:lang w:val="en-US" w:eastAsia="zh-CN"/>
              </w:rPr>
              <w:t>）环境噪声监测要求</w:t>
            </w:r>
          </w:p>
          <w:p>
            <w:pPr>
              <w:adjustRightInd w:val="0"/>
              <w:snapToGrid w:val="0"/>
              <w:ind w:firstLine="482"/>
              <w:jc w:val="center"/>
              <w:textAlignment w:val="baseline"/>
              <w:rPr>
                <w:rFonts w:hint="default" w:ascii="Times New Roman" w:hAnsi="Times New Roman" w:cs="Times New Roman"/>
                <w:b/>
                <w:color w:val="auto"/>
                <w:szCs w:val="21"/>
              </w:rPr>
            </w:pPr>
            <w:r>
              <w:rPr>
                <w:rFonts w:hint="default" w:ascii="Times New Roman" w:hAnsi="Times New Roman" w:cs="Times New Roman"/>
                <w:b/>
                <w:color w:val="auto"/>
                <w:szCs w:val="21"/>
              </w:rPr>
              <w:t>表4-</w:t>
            </w:r>
            <w:r>
              <w:rPr>
                <w:rFonts w:hint="eastAsia" w:cs="Times New Roman"/>
                <w:b/>
                <w:color w:val="auto"/>
                <w:szCs w:val="21"/>
                <w:lang w:val="en-US" w:eastAsia="zh-CN"/>
              </w:rPr>
              <w:t>10</w:t>
            </w:r>
            <w:r>
              <w:rPr>
                <w:rFonts w:hint="default" w:ascii="Times New Roman" w:hAnsi="Times New Roman" w:cs="Times New Roman"/>
                <w:b/>
                <w:color w:val="auto"/>
                <w:szCs w:val="21"/>
              </w:rPr>
              <w:t xml:space="preserve">  噪声监测计划一览表</w:t>
            </w:r>
          </w:p>
          <w:tbl>
            <w:tblPr>
              <w:tblStyle w:val="30"/>
              <w:tblW w:w="8651" w:type="dxa"/>
              <w:jc w:val="center"/>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717"/>
              <w:gridCol w:w="750"/>
              <w:gridCol w:w="1773"/>
              <w:gridCol w:w="818"/>
              <w:gridCol w:w="1800"/>
              <w:gridCol w:w="2793"/>
            </w:tblGrid>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264" w:hRule="atLeast"/>
                <w:jc w:val="center"/>
              </w:trPr>
              <w:tc>
                <w:tcPr>
                  <w:tcW w:w="717"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序号</w:t>
                  </w:r>
                </w:p>
              </w:tc>
              <w:tc>
                <w:tcPr>
                  <w:tcW w:w="750"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环境</w:t>
                  </w:r>
                </w:p>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要素</w:t>
                  </w:r>
                </w:p>
              </w:tc>
              <w:tc>
                <w:tcPr>
                  <w:tcW w:w="1773"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监测点位</w:t>
                  </w:r>
                </w:p>
              </w:tc>
              <w:tc>
                <w:tcPr>
                  <w:tcW w:w="818"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监测指标</w:t>
                  </w:r>
                </w:p>
              </w:tc>
              <w:tc>
                <w:tcPr>
                  <w:tcW w:w="1800"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监测频次</w:t>
                  </w:r>
                </w:p>
              </w:tc>
              <w:tc>
                <w:tcPr>
                  <w:tcW w:w="2793"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执行标准</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575" w:hRule="atLeast"/>
                <w:jc w:val="center"/>
              </w:trPr>
              <w:tc>
                <w:tcPr>
                  <w:tcW w:w="717"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1</w:t>
                  </w:r>
                </w:p>
              </w:tc>
              <w:tc>
                <w:tcPr>
                  <w:tcW w:w="750"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声环境</w:t>
                  </w:r>
                </w:p>
              </w:tc>
              <w:tc>
                <w:tcPr>
                  <w:tcW w:w="1773"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厂界四周外1m布设4个点</w:t>
                  </w:r>
                </w:p>
              </w:tc>
              <w:tc>
                <w:tcPr>
                  <w:tcW w:w="818" w:type="dxa"/>
                  <w:noWrap w:val="0"/>
                  <w:vAlign w:val="center"/>
                </w:tcPr>
                <w:p>
                  <w:pPr>
                    <w:jc w:val="center"/>
                    <w:rPr>
                      <w:rFonts w:hint="default" w:ascii="Times New Roman" w:hAnsi="Times New Roman" w:eastAsia="宋体" w:cs="Times New Roman"/>
                      <w:bCs/>
                      <w:color w:val="auto"/>
                      <w:kern w:val="0"/>
                      <w:szCs w:val="21"/>
                      <w:lang w:val="en-US" w:eastAsia="zh-CN"/>
                    </w:rPr>
                  </w:pPr>
                  <w:r>
                    <w:rPr>
                      <w:rFonts w:hint="eastAsia" w:cs="Times New Roman"/>
                      <w:bCs/>
                      <w:color w:val="auto"/>
                      <w:kern w:val="0"/>
                      <w:szCs w:val="21"/>
                      <w:lang w:val="en-US" w:eastAsia="zh-CN"/>
                    </w:rPr>
                    <w:t>等效声级、最大声级</w:t>
                  </w:r>
                </w:p>
              </w:tc>
              <w:tc>
                <w:tcPr>
                  <w:tcW w:w="1800"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eastAsia="宋体" w:cs="Times New Roman"/>
                      <w:color w:val="auto"/>
                      <w:kern w:val="0"/>
                      <w:sz w:val="21"/>
                      <w:szCs w:val="21"/>
                      <w:lang w:val="en-US" w:eastAsia="zh-CN" w:bidi="ar"/>
                    </w:rPr>
                    <w:t>1次/季度（生产期）</w:t>
                  </w:r>
                </w:p>
              </w:tc>
              <w:tc>
                <w:tcPr>
                  <w:tcW w:w="2793" w:type="dxa"/>
                  <w:noWrap w:val="0"/>
                  <w:vAlign w:val="center"/>
                </w:tcPr>
                <w:p>
                  <w:pPr>
                    <w:jc w:val="center"/>
                    <w:rPr>
                      <w:rFonts w:hint="default" w:ascii="Times New Roman" w:hAnsi="Times New Roman" w:eastAsia="宋体" w:cs="Times New Roman"/>
                      <w:bCs/>
                      <w:color w:val="auto"/>
                      <w:kern w:val="0"/>
                      <w:szCs w:val="21"/>
                      <w:lang w:eastAsia="zh-CN"/>
                    </w:rPr>
                  </w:pPr>
                  <w:r>
                    <w:rPr>
                      <w:rFonts w:hint="eastAsia"/>
                    </w:rPr>
                    <w:t>厂界东侧、西侧、北侧</w:t>
                  </w:r>
                  <w:r>
                    <w:rPr>
                      <w:rFonts w:hint="eastAsia"/>
                      <w:lang w:val="en-US" w:eastAsia="zh-CN"/>
                    </w:rPr>
                    <w:t>执行</w:t>
                  </w:r>
                  <w:r>
                    <w:rPr>
                      <w:rFonts w:hint="eastAsia"/>
                    </w:rPr>
                    <w:t>《工业企业厂界噪声排放标准》（GB12348-2008）中2类标准要求，厂界南侧</w:t>
                  </w:r>
                  <w:r>
                    <w:rPr>
                      <w:rFonts w:hint="eastAsia"/>
                      <w:lang w:val="en-US" w:eastAsia="zh-CN"/>
                    </w:rPr>
                    <w:t>执行</w:t>
                  </w:r>
                  <w:r>
                    <w:rPr>
                      <w:rFonts w:hint="eastAsia"/>
                    </w:rPr>
                    <w:t>《工业企业厂界噪声排放标准》（GB12348-2008）中4类标准要求</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2" w:firstLineChars="200"/>
              <w:jc w:val="both"/>
              <w:textAlignment w:val="auto"/>
              <w:rPr>
                <w:rFonts w:hint="default" w:ascii="Times New Roman" w:hAnsi="Times New Roman" w:eastAsia="宋体" w:cs="Times New Roman"/>
                <w:b/>
                <w:bCs w:val="0"/>
                <w:color w:val="auto"/>
                <w:spacing w:val="-10"/>
                <w:sz w:val="24"/>
                <w:szCs w:val="24"/>
                <w:lang w:val="en-US" w:eastAsia="zh-CN"/>
              </w:rPr>
            </w:pPr>
            <w:r>
              <w:rPr>
                <w:rFonts w:hint="default" w:ascii="Times New Roman" w:hAnsi="Times New Roman" w:eastAsia="宋体" w:cs="Times New Roman"/>
                <w:b/>
                <w:bCs w:val="0"/>
                <w:color w:val="auto"/>
                <w:spacing w:val="-10"/>
                <w:sz w:val="24"/>
                <w:szCs w:val="24"/>
                <w:lang w:val="en-US" w:eastAsia="zh-CN"/>
              </w:rPr>
              <w:t>4、固体废物</w:t>
            </w:r>
          </w:p>
          <w:p>
            <w:pPr>
              <w:keepNext w:val="0"/>
              <w:keepLines w:val="0"/>
              <w:pageBreakBefore w:val="0"/>
              <w:widowControl w:val="0"/>
              <w:kinsoku/>
              <w:wordWrap/>
              <w:overflowPunct w:val="0"/>
              <w:topLinePunct w:val="0"/>
              <w:bidi w:val="0"/>
              <w:snapToGrid/>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本项目运营期产生的</w:t>
            </w:r>
            <w:r>
              <w:rPr>
                <w:rFonts w:hint="eastAsia" w:cs="Times New Roman"/>
                <w:color w:val="auto"/>
                <w:sz w:val="24"/>
                <w:szCs w:val="24"/>
                <w:highlight w:val="none"/>
                <w:lang w:eastAsia="zh-CN"/>
              </w:rPr>
              <w:t>固体废物</w:t>
            </w:r>
            <w:r>
              <w:rPr>
                <w:rFonts w:hint="default" w:ascii="Times New Roman" w:hAnsi="Times New Roman" w:cs="Times New Roman"/>
                <w:color w:val="auto"/>
                <w:sz w:val="24"/>
                <w:szCs w:val="24"/>
                <w:highlight w:val="none"/>
              </w:rPr>
              <w:t>，一般固废主要包括</w:t>
            </w:r>
            <w:r>
              <w:rPr>
                <w:rFonts w:hint="default" w:ascii="Times New Roman" w:hAnsi="Times New Roman" w:cs="Times New Roman"/>
                <w:color w:val="auto"/>
                <w:sz w:val="24"/>
                <w:szCs w:val="24"/>
                <w:highlight w:val="none"/>
                <w:lang w:eastAsia="zh-CN"/>
              </w:rPr>
              <w:t>：</w:t>
            </w:r>
            <w:r>
              <w:rPr>
                <w:rFonts w:hint="eastAsia" w:ascii="Times New Roman" w:hAnsi="Times New Roman" w:eastAsia="宋体" w:cs="Times New Roman"/>
                <w:bCs/>
                <w:color w:val="auto"/>
                <w:spacing w:val="-10"/>
                <w:sz w:val="24"/>
                <w:szCs w:val="24"/>
                <w:highlight w:val="none"/>
                <w:lang w:val="en-US" w:eastAsia="zh-CN"/>
              </w:rPr>
              <w:t>筛分</w:t>
            </w:r>
            <w:r>
              <w:rPr>
                <w:rFonts w:hint="default" w:ascii="Times New Roman" w:hAnsi="Times New Roman" w:eastAsia="宋体" w:cs="Times New Roman"/>
                <w:bCs/>
                <w:color w:val="auto"/>
                <w:spacing w:val="-10"/>
                <w:sz w:val="24"/>
                <w:szCs w:val="24"/>
                <w:highlight w:val="none"/>
                <w:lang w:val="en-US" w:eastAsia="zh-CN"/>
              </w:rPr>
              <w:t>清理原粮中的杂质（泥沙）</w:t>
            </w:r>
            <w:r>
              <w:rPr>
                <w:rFonts w:hint="eastAsia" w:ascii="Times New Roman" w:hAnsi="Times New Roman" w:eastAsia="宋体" w:cs="Times New Roman"/>
                <w:bCs/>
                <w:color w:val="auto"/>
                <w:spacing w:val="-10"/>
                <w:sz w:val="24"/>
                <w:szCs w:val="24"/>
                <w:highlight w:val="none"/>
                <w:lang w:val="en-US" w:eastAsia="zh-CN"/>
              </w:rPr>
              <w:t>、</w:t>
            </w:r>
            <w:r>
              <w:rPr>
                <w:rFonts w:hint="default" w:ascii="Times New Roman" w:hAnsi="Times New Roman" w:cs="Times New Roman"/>
                <w:color w:val="auto"/>
                <w:sz w:val="24"/>
                <w:szCs w:val="24"/>
                <w:highlight w:val="none"/>
                <w:lang w:eastAsia="zh-CN"/>
              </w:rPr>
              <w:t>员工生活垃圾</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热风炉产生的</w:t>
            </w:r>
            <w:r>
              <w:rPr>
                <w:rFonts w:hint="eastAsia" w:cs="Times New Roman"/>
                <w:color w:val="auto"/>
                <w:sz w:val="24"/>
                <w:szCs w:val="24"/>
                <w:highlight w:val="none"/>
                <w:lang w:val="en-US" w:eastAsia="zh-CN"/>
              </w:rPr>
              <w:t>灰渣</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bCs/>
                <w:color w:val="auto"/>
                <w:spacing w:val="-10"/>
                <w:sz w:val="24"/>
                <w:szCs w:val="24"/>
                <w:highlight w:val="none"/>
                <w:lang w:val="en-US" w:eastAsia="zh-CN"/>
              </w:rPr>
              <w:t>输送产生的</w:t>
            </w:r>
            <w:r>
              <w:rPr>
                <w:rFonts w:hint="default" w:ascii="Times New Roman" w:hAnsi="Times New Roman" w:cs="Times New Roman"/>
                <w:color w:val="auto"/>
                <w:sz w:val="24"/>
                <w:szCs w:val="24"/>
                <w:highlight w:val="none"/>
                <w:lang w:eastAsia="zh-CN"/>
              </w:rPr>
              <w:t>粉尘</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废布袋</w:t>
            </w:r>
            <w:r>
              <w:rPr>
                <w:rFonts w:hint="default" w:ascii="Times New Roman" w:hAnsi="Times New Roman" w:cs="Times New Roman"/>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kern w:val="2"/>
                <w:sz w:val="24"/>
                <w:szCs w:val="24"/>
                <w:lang w:val="en-US" w:eastAsia="zh-CN" w:bidi="ar-SA"/>
              </w:rPr>
              <w:t>（1）</w:t>
            </w:r>
            <w:r>
              <w:rPr>
                <w:rFonts w:hint="eastAsia" w:ascii="Times New Roman" w:hAnsi="Times New Roman" w:eastAsia="宋体" w:cs="Times New Roman"/>
                <w:bCs/>
                <w:color w:val="auto"/>
                <w:spacing w:val="-10"/>
                <w:sz w:val="24"/>
                <w:szCs w:val="24"/>
                <w:highlight w:val="none"/>
                <w:lang w:val="en-US" w:eastAsia="zh-CN"/>
              </w:rPr>
              <w:t>筛分</w:t>
            </w:r>
            <w:r>
              <w:rPr>
                <w:rFonts w:hint="default" w:ascii="Times New Roman" w:hAnsi="Times New Roman" w:eastAsia="宋体" w:cs="Times New Roman"/>
                <w:bCs/>
                <w:color w:val="auto"/>
                <w:spacing w:val="-10"/>
                <w:sz w:val="24"/>
                <w:szCs w:val="24"/>
                <w:highlight w:val="none"/>
                <w:lang w:val="en-US" w:eastAsia="zh-CN"/>
              </w:rPr>
              <w:t>清理原粮中的杂质（泥沙）：产生量约</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t/a，统一收集</w:t>
            </w:r>
            <w:r>
              <w:rPr>
                <w:rFonts w:hint="eastAsia" w:cs="Times New Roman"/>
                <w:bCs/>
                <w:color w:val="auto"/>
                <w:spacing w:val="-10"/>
                <w:sz w:val="24"/>
                <w:szCs w:val="24"/>
                <w:highlight w:val="none"/>
                <w:lang w:val="en-US" w:eastAsia="zh-CN"/>
              </w:rPr>
              <w:t>外售综合利用</w:t>
            </w:r>
            <w:r>
              <w:rPr>
                <w:rFonts w:hint="default" w:ascii="Times New Roman" w:hAnsi="Times New Roman" w:eastAsia="宋体" w:cs="Times New Roman"/>
                <w:bCs/>
                <w:color w:val="auto"/>
                <w:spacing w:val="-10"/>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类别代码为</w:t>
            </w:r>
            <w:r>
              <w:rPr>
                <w:rFonts w:hint="default" w:ascii="Times New Roman" w:hAnsi="Times New Roman" w:eastAsia="宋体" w:cs="Times New Roman"/>
                <w:color w:val="auto"/>
                <w:sz w:val="24"/>
                <w:szCs w:val="24"/>
                <w:highlight w:val="none"/>
                <w:lang w:val="en-US" w:eastAsia="zh-CN"/>
              </w:rPr>
              <w:t>010-099-</w:t>
            </w:r>
            <w:r>
              <w:rPr>
                <w:rFonts w:hint="eastAsia" w:cs="Times New Roman"/>
                <w:color w:val="auto"/>
                <w:sz w:val="24"/>
                <w:szCs w:val="24"/>
                <w:highlight w:val="none"/>
                <w:lang w:val="en-US" w:eastAsia="zh-CN"/>
              </w:rPr>
              <w:t>S80。</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eastAsia" w:ascii="Times New Roman" w:hAnsi="Times New Roman" w:eastAsia="宋体" w:cs="Times New Roman"/>
                <w:bCs/>
                <w:color w:val="auto"/>
                <w:spacing w:val="-10"/>
                <w:sz w:val="24"/>
                <w:szCs w:val="24"/>
                <w:highlight w:val="none"/>
                <w:lang w:val="en-US" w:eastAsia="zh-CN"/>
              </w:rPr>
              <w:t>（2）</w:t>
            </w:r>
            <w:r>
              <w:rPr>
                <w:rFonts w:hint="default" w:ascii="Times New Roman" w:hAnsi="Times New Roman" w:eastAsia="宋体" w:cs="Times New Roman"/>
                <w:bCs/>
                <w:color w:val="auto"/>
                <w:spacing w:val="-10"/>
                <w:sz w:val="24"/>
                <w:szCs w:val="24"/>
                <w:highlight w:val="none"/>
                <w:lang w:val="en-US" w:eastAsia="zh-CN"/>
              </w:rPr>
              <w:t>本项目</w:t>
            </w:r>
            <w:r>
              <w:rPr>
                <w:rFonts w:hint="eastAsia" w:ascii="Times New Roman" w:hAnsi="Times New Roman" w:eastAsia="宋体" w:cs="Times New Roman"/>
                <w:bCs/>
                <w:color w:val="auto"/>
                <w:spacing w:val="-10"/>
                <w:sz w:val="24"/>
                <w:szCs w:val="24"/>
                <w:highlight w:val="none"/>
                <w:lang w:val="en-US" w:eastAsia="zh-CN"/>
              </w:rPr>
              <w:t>热风炉</w:t>
            </w:r>
            <w:r>
              <w:rPr>
                <w:rFonts w:hint="default" w:ascii="Times New Roman" w:hAnsi="Times New Roman" w:eastAsia="宋体" w:cs="Times New Roman"/>
                <w:bCs/>
                <w:color w:val="auto"/>
                <w:spacing w:val="-10"/>
                <w:sz w:val="24"/>
                <w:szCs w:val="24"/>
                <w:highlight w:val="none"/>
                <w:lang w:val="en-US" w:eastAsia="zh-CN"/>
              </w:rPr>
              <w:t>产生的</w:t>
            </w:r>
            <w:r>
              <w:rPr>
                <w:rFonts w:hint="eastAsia" w:ascii="Times New Roman" w:hAnsi="Times New Roman" w:eastAsia="宋体" w:cs="Times New Roman"/>
                <w:bCs/>
                <w:color w:val="auto"/>
                <w:spacing w:val="-10"/>
                <w:sz w:val="24"/>
                <w:szCs w:val="24"/>
                <w:highlight w:val="none"/>
                <w:lang w:val="en-US" w:eastAsia="zh-CN"/>
              </w:rPr>
              <w:t>灰渣</w:t>
            </w:r>
            <w:r>
              <w:rPr>
                <w:rFonts w:hint="default" w:ascii="Times New Roman" w:hAnsi="Times New Roman" w:eastAsia="宋体" w:cs="Times New Roman"/>
                <w:bCs/>
                <w:color w:val="auto"/>
                <w:spacing w:val="-10"/>
                <w:sz w:val="24"/>
                <w:szCs w:val="24"/>
                <w:highlight w:val="none"/>
                <w:lang w:val="en-US" w:eastAsia="zh-CN"/>
              </w:rPr>
              <w:t>量</w:t>
            </w:r>
            <w:r>
              <w:rPr>
                <w:rFonts w:hint="eastAsia" w:ascii="Times New Roman" w:hAnsi="Times New Roman" w:eastAsia="宋体" w:cs="Times New Roman"/>
                <w:bCs/>
                <w:color w:val="auto"/>
                <w:spacing w:val="-10"/>
                <w:sz w:val="24"/>
                <w:szCs w:val="24"/>
                <w:highlight w:val="none"/>
                <w:lang w:val="en-US" w:eastAsia="zh-CN"/>
              </w:rPr>
              <w:t>参照</w:t>
            </w:r>
            <w:r>
              <w:rPr>
                <w:rFonts w:hint="default" w:ascii="Times New Roman" w:hAnsi="Times New Roman" w:eastAsia="宋体" w:cs="Times New Roman"/>
                <w:bCs/>
                <w:color w:val="auto"/>
                <w:spacing w:val="-10"/>
                <w:sz w:val="24"/>
                <w:szCs w:val="24"/>
                <w:highlight w:val="none"/>
                <w:lang w:val="en-US" w:eastAsia="zh-CN"/>
              </w:rPr>
              <w:t>《污染源源强核算技术指南 锅炉》（HJ 991—2018）中</w:t>
            </w:r>
            <w:r>
              <w:rPr>
                <w:rFonts w:hint="eastAsia" w:ascii="Times New Roman" w:hAnsi="Times New Roman" w:eastAsia="宋体" w:cs="Times New Roman"/>
                <w:bCs/>
                <w:color w:val="auto"/>
                <w:spacing w:val="-10"/>
                <w:sz w:val="24"/>
                <w:szCs w:val="24"/>
                <w:highlight w:val="none"/>
                <w:lang w:val="en-US" w:eastAsia="zh-CN"/>
              </w:rPr>
              <w:t>“</w:t>
            </w:r>
            <w:r>
              <w:rPr>
                <w:rFonts w:hint="default" w:ascii="Times New Roman" w:hAnsi="Times New Roman" w:eastAsia="宋体" w:cs="Times New Roman"/>
                <w:bCs/>
                <w:color w:val="auto"/>
                <w:spacing w:val="-10"/>
                <w:sz w:val="24"/>
                <w:szCs w:val="24"/>
                <w:highlight w:val="none"/>
                <w:lang w:val="en-US" w:eastAsia="zh-CN"/>
              </w:rPr>
              <w:t>8.1.1 物料衡算法</w:t>
            </w:r>
            <w:r>
              <w:rPr>
                <w:rFonts w:hint="eastAsia" w:ascii="Times New Roman" w:hAnsi="Times New Roman" w:eastAsia="宋体" w:cs="Times New Roman"/>
                <w:bCs/>
                <w:color w:val="auto"/>
                <w:spacing w:val="-10"/>
                <w:sz w:val="24"/>
                <w:szCs w:val="24"/>
                <w:highlight w:val="none"/>
                <w:lang w:val="en-US" w:eastAsia="zh-CN"/>
              </w:rPr>
              <w:t>”</w:t>
            </w:r>
            <w:r>
              <w:rPr>
                <w:rFonts w:hint="default" w:ascii="Times New Roman" w:hAnsi="Times New Roman" w:eastAsia="宋体" w:cs="Times New Roman"/>
                <w:bCs/>
                <w:color w:val="auto"/>
                <w:spacing w:val="-10"/>
                <w:sz w:val="24"/>
                <w:szCs w:val="24"/>
                <w:highlight w:val="none"/>
                <w:lang w:val="en-US" w:eastAsia="zh-CN"/>
              </w:rPr>
              <w:t>进行计算确定，计算公式如下：</w:t>
            </w:r>
          </w:p>
          <w:p>
            <w:pPr>
              <w:pStyle w:val="87"/>
              <w:keepNext w:val="0"/>
              <w:keepLines w:val="0"/>
              <w:pageBreakBefore w:val="0"/>
              <w:kinsoku/>
              <w:wordWrap/>
              <w:overflowPunct/>
              <w:topLinePunct w:val="0"/>
              <w:autoSpaceDE/>
              <w:autoSpaceDN/>
              <w:bidi w:val="0"/>
              <w:spacing w:line="360" w:lineRule="auto"/>
              <w:ind w:left="0" w:leftChars="0" w:right="0" w:rightChars="0" w:firstLine="480" w:firstLineChars="200"/>
              <w:jc w:val="center"/>
              <w:rPr>
                <w:color w:val="auto"/>
                <w:sz w:val="24"/>
                <w:szCs w:val="24"/>
                <w:lang w:eastAsia="en-US"/>
              </w:rPr>
            </w:pPr>
            <w:r>
              <w:rPr>
                <w:color w:val="auto"/>
                <w:position w:val="-28"/>
                <w:sz w:val="24"/>
                <w:szCs w:val="24"/>
              </w:rPr>
              <w:object>
                <v:shape id="_x0000_i1033" o:spt="75" type="#_x0000_t75" style="height:34pt;width:146pt;" o:ole="t" filled="f" o:preferrelative="t" stroked="f" coordsize="21600,21600">
                  <v:path/>
                  <v:fill on="f" focussize="0,0"/>
                  <v:stroke on="f"/>
                  <v:imagedata r:id="rId40" o:title=""/>
                  <o:lock v:ext="edit" aspectratio="t"/>
                  <w10:wrap type="none"/>
                  <w10:anchorlock/>
                </v:shape>
                <o:OLEObject Type="Embed" ProgID="Equation.KSEE3" ShapeID="_x0000_i1033" DrawAspect="Content" ObjectID="_1468075733" r:id="rId39">
                  <o:LockedField>false</o:LockedField>
                </o:OLEObject>
              </w:objec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式中：E</w:t>
            </w:r>
            <w:r>
              <w:rPr>
                <w:bCs/>
                <w:color w:val="auto"/>
                <w:spacing w:val="-10"/>
                <w:sz w:val="24"/>
                <w:szCs w:val="24"/>
                <w:vertAlign w:val="subscript"/>
              </w:rPr>
              <w:t>hz</w:t>
            </w:r>
            <w:r>
              <w:rPr>
                <w:bCs/>
                <w:color w:val="auto"/>
                <w:spacing w:val="-10"/>
                <w:sz w:val="24"/>
                <w:szCs w:val="24"/>
              </w:rPr>
              <w:t>—核算时段内灰渣产生量，t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R—核算时段内</w:t>
            </w:r>
            <w:r>
              <w:rPr>
                <w:rFonts w:hint="eastAsia"/>
                <w:bCs/>
                <w:color w:val="auto"/>
                <w:spacing w:val="-10"/>
                <w:sz w:val="24"/>
                <w:szCs w:val="24"/>
              </w:rPr>
              <w:t>热风</w:t>
            </w:r>
            <w:r>
              <w:rPr>
                <w:bCs/>
                <w:color w:val="auto"/>
                <w:spacing w:val="-10"/>
                <w:sz w:val="24"/>
                <w:szCs w:val="24"/>
              </w:rPr>
              <w:t>炉燃料耗量，</w:t>
            </w:r>
            <w:r>
              <w:rPr>
                <w:rFonts w:hint="eastAsia"/>
                <w:bCs/>
                <w:color w:val="auto"/>
                <w:spacing w:val="-10"/>
                <w:sz w:val="24"/>
                <w:szCs w:val="24"/>
                <w:lang w:val="en-US" w:eastAsia="zh-CN"/>
              </w:rPr>
              <w:t>1250</w:t>
            </w:r>
            <w:r>
              <w:rPr>
                <w:bCs/>
                <w:color w:val="auto"/>
                <w:spacing w:val="-10"/>
                <w:sz w:val="24"/>
                <w:szCs w:val="24"/>
              </w:rPr>
              <w:t>t</w:t>
            </w:r>
            <w:r>
              <w:rPr>
                <w:rFonts w:hint="eastAsia"/>
                <w:bCs/>
                <w:color w:val="auto"/>
                <w:spacing w:val="-10"/>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A</w:t>
            </w:r>
            <w:r>
              <w:rPr>
                <w:bCs/>
                <w:color w:val="auto"/>
                <w:spacing w:val="-10"/>
                <w:sz w:val="24"/>
                <w:szCs w:val="24"/>
                <w:vertAlign w:val="subscript"/>
              </w:rPr>
              <w:t>ar</w:t>
            </w:r>
            <w:r>
              <w:rPr>
                <w:bCs/>
                <w:color w:val="auto"/>
                <w:spacing w:val="-10"/>
                <w:sz w:val="24"/>
                <w:szCs w:val="24"/>
              </w:rPr>
              <w:t>—收到基灰分的质量分数，</w:t>
            </w:r>
            <w:r>
              <w:rPr>
                <w:rFonts w:hint="eastAsia"/>
                <w:bCs/>
                <w:color w:val="auto"/>
                <w:spacing w:val="-10"/>
                <w:sz w:val="24"/>
                <w:szCs w:val="24"/>
                <w:lang w:val="en-US" w:eastAsia="zh-CN"/>
              </w:rPr>
              <w:t>16.33</w:t>
            </w:r>
            <w:r>
              <w:rPr>
                <w:bCs/>
                <w:color w:val="auto"/>
                <w:spacing w:val="-10"/>
                <w:sz w:val="24"/>
                <w:szCs w:val="24"/>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Q</w:t>
            </w:r>
            <w:r>
              <w:rPr>
                <w:bCs/>
                <w:color w:val="auto"/>
                <w:spacing w:val="-10"/>
                <w:sz w:val="24"/>
                <w:szCs w:val="24"/>
                <w:vertAlign w:val="subscript"/>
              </w:rPr>
              <w:t>net，ar</w:t>
            </w:r>
            <w:r>
              <w:rPr>
                <w:bCs/>
                <w:color w:val="auto"/>
                <w:spacing w:val="-10"/>
                <w:sz w:val="24"/>
                <w:szCs w:val="24"/>
              </w:rPr>
              <w:t>—燃料收到基低位发热量，</w:t>
            </w:r>
            <w:r>
              <w:rPr>
                <w:rFonts w:hint="eastAsia"/>
                <w:bCs/>
                <w:color w:val="auto"/>
                <w:spacing w:val="-10"/>
                <w:sz w:val="24"/>
                <w:szCs w:val="24"/>
                <w:lang w:val="en-US" w:eastAsia="zh-CN"/>
              </w:rPr>
              <w:t>14132K</w:t>
            </w:r>
            <w:r>
              <w:rPr>
                <w:bCs/>
                <w:color w:val="auto"/>
                <w:spacing w:val="-10"/>
                <w:sz w:val="24"/>
                <w:szCs w:val="24"/>
              </w:rPr>
              <w:t>J/</w:t>
            </w:r>
            <w:r>
              <w:rPr>
                <w:rFonts w:hint="eastAsia"/>
                <w:bCs/>
                <w:color w:val="auto"/>
                <w:spacing w:val="-10"/>
                <w:sz w:val="24"/>
                <w:szCs w:val="24"/>
                <w:lang w:eastAsia="zh-CN"/>
              </w:rPr>
              <w:t>kg。</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q</w:t>
            </w:r>
            <w:r>
              <w:rPr>
                <w:bCs/>
                <w:color w:val="auto"/>
                <w:spacing w:val="-10"/>
                <w:sz w:val="24"/>
                <w:szCs w:val="24"/>
                <w:vertAlign w:val="subscript"/>
              </w:rPr>
              <w:t>4</w:t>
            </w:r>
            <w:r>
              <w:rPr>
                <w:bCs/>
                <w:color w:val="auto"/>
                <w:spacing w:val="-10"/>
                <w:sz w:val="24"/>
                <w:szCs w:val="24"/>
              </w:rPr>
              <w:t>—锅炉机械不完全燃烧热损失，</w:t>
            </w:r>
            <w:r>
              <w:rPr>
                <w:rFonts w:hint="eastAsia"/>
                <w:bCs/>
                <w:color w:val="auto"/>
                <w:spacing w:val="-10"/>
                <w:sz w:val="24"/>
                <w:szCs w:val="24"/>
                <w:lang w:val="en-US" w:eastAsia="zh-CN"/>
              </w:rPr>
              <w:t>10</w:t>
            </w:r>
            <w:r>
              <w:rPr>
                <w:bCs/>
                <w:color w:val="auto"/>
                <w:spacing w:val="-10"/>
                <w:sz w:val="24"/>
                <w:szCs w:val="24"/>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rFonts w:hint="default" w:eastAsia="宋体"/>
                <w:bCs/>
                <w:color w:val="auto"/>
                <w:spacing w:val="-10"/>
                <w:sz w:val="24"/>
                <w:szCs w:val="24"/>
                <w:lang w:val="en-US" w:eastAsia="zh-CN"/>
              </w:rPr>
            </w:pPr>
            <w:r>
              <w:rPr>
                <w:bCs/>
                <w:color w:val="auto"/>
                <w:spacing w:val="-10"/>
                <w:sz w:val="24"/>
                <w:szCs w:val="24"/>
              </w:rPr>
              <w:t>经计算得出年</w:t>
            </w:r>
            <w:r>
              <w:rPr>
                <w:rFonts w:hint="eastAsia"/>
                <w:bCs/>
                <w:color w:val="auto"/>
                <w:spacing w:val="-10"/>
                <w:sz w:val="24"/>
                <w:szCs w:val="24"/>
              </w:rPr>
              <w:t>热风炉</w:t>
            </w:r>
            <w:r>
              <w:rPr>
                <w:bCs/>
                <w:color w:val="auto"/>
                <w:spacing w:val="-10"/>
                <w:sz w:val="24"/>
                <w:szCs w:val="24"/>
              </w:rPr>
              <w:t>灰渣量E</w:t>
            </w:r>
            <w:r>
              <w:rPr>
                <w:bCs/>
                <w:color w:val="auto"/>
                <w:spacing w:val="-10"/>
                <w:sz w:val="24"/>
                <w:szCs w:val="24"/>
                <w:vertAlign w:val="subscript"/>
              </w:rPr>
              <w:t>hz</w:t>
            </w:r>
            <w:r>
              <w:rPr>
                <w:bCs/>
                <w:color w:val="auto"/>
                <w:spacing w:val="-10"/>
                <w:sz w:val="24"/>
                <w:szCs w:val="24"/>
              </w:rPr>
              <w:t>=</w:t>
            </w:r>
            <w:r>
              <w:rPr>
                <w:rFonts w:hint="eastAsia"/>
                <w:bCs/>
                <w:color w:val="auto"/>
                <w:spacing w:val="-10"/>
                <w:sz w:val="24"/>
                <w:szCs w:val="24"/>
                <w:lang w:val="en-US" w:eastAsia="zh-CN"/>
              </w:rPr>
              <w:t>256.25t/a</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eastAsia" w:ascii="Times New Roman" w:hAnsi="Times New Roman" w:eastAsia="宋体" w:cs="Times New Roman"/>
                <w:color w:val="auto"/>
                <w:sz w:val="24"/>
                <w:szCs w:val="24"/>
                <w:highlight w:val="none"/>
              </w:rPr>
              <w:t>灰渣清理后直接装袋，</w:t>
            </w:r>
            <w:r>
              <w:rPr>
                <w:rFonts w:hint="eastAsia" w:cs="Times New Roman"/>
                <w:color w:val="auto"/>
                <w:sz w:val="24"/>
                <w:szCs w:val="24"/>
                <w:highlight w:val="none"/>
                <w:lang w:val="en-US" w:eastAsia="zh-CN"/>
              </w:rPr>
              <w:t>每日清灰一次，</w:t>
            </w:r>
            <w:r>
              <w:rPr>
                <w:rFonts w:hint="eastAsia" w:ascii="Times New Roman" w:hAnsi="Times New Roman" w:eastAsia="宋体" w:cs="Times New Roman"/>
                <w:color w:val="auto"/>
                <w:sz w:val="24"/>
                <w:szCs w:val="24"/>
                <w:highlight w:val="none"/>
              </w:rPr>
              <w:t>灰渣库临时堆放，</w:t>
            </w:r>
            <w:r>
              <w:rPr>
                <w:rFonts w:hint="default" w:ascii="Times New Roman" w:hAnsi="Times New Roman" w:eastAsia="宋体" w:cs="Times New Roman"/>
                <w:bCs/>
                <w:color w:val="auto"/>
                <w:spacing w:val="-10"/>
                <w:sz w:val="24"/>
                <w:szCs w:val="24"/>
                <w:highlight w:val="none"/>
                <w:lang w:val="en-US" w:eastAsia="zh-CN"/>
              </w:rPr>
              <w:t>外售综合利用。</w:t>
            </w:r>
            <w:r>
              <w:rPr>
                <w:rFonts w:hint="default" w:ascii="Times New Roman" w:hAnsi="Times New Roman" w:eastAsia="宋体" w:cs="Times New Roman"/>
                <w:color w:val="auto"/>
                <w:sz w:val="24"/>
                <w:szCs w:val="24"/>
                <w:highlight w:val="none"/>
                <w:lang w:eastAsia="zh-CN"/>
              </w:rPr>
              <w:t>类别代码为</w:t>
            </w:r>
            <w:r>
              <w:rPr>
                <w:rFonts w:hint="default" w:ascii="Times New Roman" w:hAnsi="Times New Roman" w:eastAsia="宋体" w:cs="Times New Roman"/>
                <w:color w:val="auto"/>
                <w:sz w:val="24"/>
                <w:szCs w:val="24"/>
                <w:highlight w:val="none"/>
                <w:lang w:val="en-US" w:eastAsia="zh-CN"/>
              </w:rPr>
              <w:t>900-001-S0</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kern w:val="2"/>
                <w:sz w:val="24"/>
                <w:szCs w:val="24"/>
                <w:lang w:val="en-US" w:eastAsia="zh-CN" w:bidi="ar-SA"/>
              </w:rPr>
              <w:t>（3）</w:t>
            </w:r>
            <w:r>
              <w:rPr>
                <w:rFonts w:hint="default" w:ascii="Times New Roman" w:hAnsi="Times New Roman" w:eastAsia="宋体" w:cs="Times New Roman"/>
                <w:bCs/>
                <w:color w:val="auto"/>
                <w:spacing w:val="-10"/>
                <w:sz w:val="24"/>
                <w:szCs w:val="24"/>
                <w:highlight w:val="none"/>
                <w:lang w:val="en-US" w:eastAsia="zh-CN"/>
              </w:rPr>
              <w:t>员工生活垃圾：项目员工</w:t>
            </w:r>
            <w:r>
              <w:rPr>
                <w:rFonts w:hint="eastAsia" w:cs="Times New Roman"/>
                <w:bCs/>
                <w:color w:val="auto"/>
                <w:spacing w:val="-10"/>
                <w:sz w:val="24"/>
                <w:szCs w:val="24"/>
                <w:highlight w:val="none"/>
                <w:lang w:val="en-US" w:eastAsia="zh-CN"/>
              </w:rPr>
              <w:t>10</w:t>
            </w:r>
            <w:r>
              <w:rPr>
                <w:rFonts w:hint="default" w:ascii="Times New Roman" w:hAnsi="Times New Roman" w:eastAsia="宋体" w:cs="Times New Roman"/>
                <w:bCs/>
                <w:color w:val="auto"/>
                <w:spacing w:val="-10"/>
                <w:sz w:val="24"/>
                <w:szCs w:val="24"/>
                <w:highlight w:val="none"/>
                <w:lang w:val="en-US" w:eastAsia="zh-CN"/>
              </w:rPr>
              <w:t>人，生活垃圾按每人每天0.5kg计算，年产生生活垃圾</w:t>
            </w:r>
            <w:r>
              <w:rPr>
                <w:rFonts w:hint="eastAsia" w:cs="Times New Roman"/>
                <w:bCs/>
                <w:color w:val="auto"/>
                <w:spacing w:val="-10"/>
                <w:sz w:val="24"/>
                <w:szCs w:val="24"/>
                <w:highlight w:val="none"/>
                <w:lang w:val="en-US" w:eastAsia="zh-CN"/>
              </w:rPr>
              <w:t>0.15</w:t>
            </w:r>
            <w:r>
              <w:rPr>
                <w:rFonts w:hint="eastAsia" w:ascii="Times New Roman" w:hAnsi="Times New Roman" w:eastAsia="宋体" w:cs="Times New Roman"/>
                <w:bCs/>
                <w:color w:val="auto"/>
                <w:spacing w:val="-10"/>
                <w:sz w:val="24"/>
                <w:szCs w:val="24"/>
                <w:highlight w:val="none"/>
                <w:lang w:val="en-US" w:eastAsia="zh-CN"/>
              </w:rPr>
              <w:t>t</w:t>
            </w:r>
            <w:r>
              <w:rPr>
                <w:rFonts w:hint="default" w:ascii="Times New Roman" w:hAnsi="Times New Roman" w:eastAsia="宋体" w:cs="Times New Roman"/>
                <w:bCs/>
                <w:color w:val="auto"/>
                <w:spacing w:val="-10"/>
                <w:sz w:val="24"/>
                <w:szCs w:val="24"/>
                <w:highlight w:val="none"/>
                <w:lang w:val="en-US" w:eastAsia="zh-CN"/>
              </w:rPr>
              <w:t>/a，依托当地环卫部门统一收集处理</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类别代码为</w:t>
            </w:r>
            <w:r>
              <w:rPr>
                <w:rFonts w:hint="default" w:ascii="Times New Roman" w:hAnsi="Times New Roman" w:eastAsia="宋体" w:cs="Times New Roman"/>
                <w:color w:val="auto"/>
                <w:sz w:val="24"/>
                <w:szCs w:val="24"/>
                <w:highlight w:val="none"/>
              </w:rPr>
              <w:t>900-099-</w:t>
            </w:r>
            <w:r>
              <w:rPr>
                <w:rFonts w:hint="eastAsia" w:cs="Times New Roman"/>
                <w:color w:val="auto"/>
                <w:sz w:val="24"/>
                <w:szCs w:val="24"/>
                <w:highlight w:val="none"/>
                <w:lang w:eastAsia="zh-CN"/>
              </w:rPr>
              <w:t>S64。</w:t>
            </w:r>
          </w:p>
          <w:p>
            <w:pPr>
              <w:keepNext w:val="0"/>
              <w:keepLines w:val="0"/>
              <w:pageBreakBefore w:val="0"/>
              <w:widowControl w:val="0"/>
              <w:kinsoku/>
              <w:wordWrap/>
              <w:overflowPunct/>
              <w:topLinePunct w:val="0"/>
              <w:autoSpaceDE/>
              <w:autoSpaceDN/>
              <w:bidi w:val="0"/>
              <w:adjustRightInd w:val="0"/>
              <w:snapToGrid w:val="0"/>
              <w:spacing w:line="360" w:lineRule="auto"/>
              <w:ind w:left="0" w:firstLine="44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Cs/>
                <w:color w:val="auto"/>
                <w:spacing w:val="-10"/>
                <w:sz w:val="24"/>
                <w:szCs w:val="24"/>
                <w:highlight w:val="none"/>
                <w:lang w:val="en-US" w:eastAsia="zh-CN"/>
              </w:rPr>
              <w:t>（</w:t>
            </w:r>
            <w:r>
              <w:rPr>
                <w:rFonts w:hint="eastAsia" w:ascii="Times New Roman" w:hAnsi="Times New Roman" w:eastAsia="宋体" w:cs="Times New Roman"/>
                <w:bCs/>
                <w:color w:val="auto"/>
                <w:spacing w:val="-10"/>
                <w:sz w:val="24"/>
                <w:szCs w:val="24"/>
                <w:highlight w:val="none"/>
                <w:lang w:val="en-US" w:eastAsia="zh-CN"/>
              </w:rPr>
              <w:t>4</w:t>
            </w:r>
            <w:r>
              <w:rPr>
                <w:rFonts w:hint="default" w:ascii="Times New Roman" w:hAnsi="Times New Roman" w:eastAsia="宋体" w:cs="Times New Roman"/>
                <w:bCs/>
                <w:color w:val="auto"/>
                <w:spacing w:val="-10"/>
                <w:sz w:val="24"/>
                <w:szCs w:val="24"/>
                <w:highlight w:val="none"/>
                <w:lang w:val="en-US" w:eastAsia="zh-CN"/>
              </w:rPr>
              <w:t>）装卸、输送</w:t>
            </w:r>
            <w:r>
              <w:rPr>
                <w:rFonts w:hint="eastAsia"/>
                <w:color w:val="auto"/>
                <w:lang w:eastAsia="zh-CN"/>
              </w:rPr>
              <w:t>、</w:t>
            </w:r>
            <w:r>
              <w:rPr>
                <w:rFonts w:hint="eastAsia"/>
                <w:color w:val="auto"/>
                <w:sz w:val="24"/>
                <w:szCs w:val="24"/>
                <w:lang w:eastAsia="zh-CN"/>
              </w:rPr>
              <w:t>烘干塔</w:t>
            </w:r>
            <w:r>
              <w:rPr>
                <w:rFonts w:hint="default" w:ascii="Times New Roman" w:hAnsi="Times New Roman" w:eastAsia="宋体" w:cs="Times New Roman"/>
                <w:bCs/>
                <w:color w:val="auto"/>
                <w:spacing w:val="-10"/>
                <w:sz w:val="24"/>
                <w:szCs w:val="24"/>
                <w:highlight w:val="none"/>
                <w:lang w:val="en-US" w:eastAsia="zh-CN"/>
              </w:rPr>
              <w:t>产生的</w:t>
            </w:r>
            <w:r>
              <w:rPr>
                <w:rFonts w:hint="default" w:ascii="Times New Roman" w:hAnsi="Times New Roman" w:cs="Times New Roman"/>
                <w:color w:val="auto"/>
                <w:sz w:val="24"/>
                <w:szCs w:val="24"/>
                <w:highlight w:val="none"/>
                <w:lang w:eastAsia="zh-CN"/>
              </w:rPr>
              <w:t>粉尘</w:t>
            </w:r>
            <w:r>
              <w:rPr>
                <w:rFonts w:hint="default" w:ascii="Times New Roman" w:hAnsi="Times New Roman" w:eastAsia="宋体" w:cs="Times New Roman"/>
                <w:bCs/>
                <w:color w:val="auto"/>
                <w:spacing w:val="-10"/>
                <w:sz w:val="24"/>
                <w:szCs w:val="24"/>
                <w:highlight w:val="none"/>
                <w:lang w:val="en-US" w:eastAsia="zh-CN"/>
              </w:rPr>
              <w:t>，年回收粉尘量为</w:t>
            </w:r>
            <w:r>
              <w:rPr>
                <w:rFonts w:hint="eastAsia" w:cs="Times New Roman"/>
                <w:bCs/>
                <w:color w:val="auto"/>
                <w:spacing w:val="-10"/>
                <w:sz w:val="24"/>
                <w:szCs w:val="24"/>
                <w:highlight w:val="none"/>
                <w:lang w:val="en-US" w:eastAsia="zh-CN"/>
              </w:rPr>
              <w:t>2.7</w:t>
            </w:r>
            <w:r>
              <w:rPr>
                <w:rFonts w:hint="default" w:ascii="Times New Roman" w:hAnsi="Times New Roman" w:eastAsia="宋体" w:cs="Times New Roman"/>
                <w:bCs/>
                <w:color w:val="auto"/>
                <w:spacing w:val="-10"/>
                <w:sz w:val="24"/>
                <w:szCs w:val="24"/>
                <w:highlight w:val="none"/>
                <w:lang w:val="en-US" w:eastAsia="zh-CN"/>
              </w:rPr>
              <w:t>t/a，集中收集，</w:t>
            </w:r>
            <w:r>
              <w:rPr>
                <w:rFonts w:hint="eastAsia" w:cs="Times New Roman"/>
                <w:bCs/>
                <w:color w:val="auto"/>
                <w:spacing w:val="-10"/>
                <w:sz w:val="24"/>
                <w:szCs w:val="24"/>
                <w:highlight w:val="none"/>
                <w:lang w:val="en-US" w:eastAsia="zh-CN"/>
              </w:rPr>
              <w:t>外售综合利用</w:t>
            </w:r>
            <w:r>
              <w:rPr>
                <w:rFonts w:hint="default" w:ascii="Times New Roman" w:hAnsi="Times New Roman" w:eastAsia="宋体" w:cs="Times New Roman"/>
                <w:bCs/>
                <w:color w:val="auto"/>
                <w:spacing w:val="-10"/>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类别代码为</w:t>
            </w:r>
            <w:r>
              <w:rPr>
                <w:rFonts w:hint="default" w:ascii="Times New Roman" w:hAnsi="Times New Roman" w:eastAsia="宋体" w:cs="Times New Roman"/>
                <w:color w:val="auto"/>
                <w:sz w:val="24"/>
                <w:szCs w:val="24"/>
                <w:highlight w:val="none"/>
                <w:lang w:val="en-US" w:eastAsia="zh-CN"/>
              </w:rPr>
              <w:t>010-099-S80</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val="0"/>
              <w:tabs>
                <w:tab w:val="left" w:pos="1848"/>
                <w:tab w:val="left" w:pos="6061"/>
                <w:tab w:val="left" w:pos="8665"/>
              </w:tabs>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5</w:t>
            </w:r>
            <w:r>
              <w:rPr>
                <w:rFonts w:hint="eastAsia" w:ascii="Times New Roman" w:hAnsi="Times New Roman" w:eastAsia="宋体" w:cs="Times New Roman"/>
                <w:color w:val="auto"/>
                <w:kern w:val="2"/>
                <w:sz w:val="24"/>
                <w:szCs w:val="24"/>
                <w:highlight w:val="none"/>
                <w:lang w:val="en-US" w:eastAsia="zh-CN" w:bidi="ar-SA"/>
              </w:rPr>
              <w:t>）废布袋</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本项目热风炉环保措施采用布袋除尘器，布袋</w:t>
            </w:r>
            <w:r>
              <w:rPr>
                <w:rFonts w:hint="eastAsia" w:cs="Times New Roman"/>
                <w:color w:val="auto"/>
                <w:kern w:val="2"/>
                <w:sz w:val="24"/>
                <w:szCs w:val="24"/>
                <w:highlight w:val="none"/>
                <w:lang w:val="en-US" w:eastAsia="zh-CN" w:bidi="ar-SA"/>
              </w:rPr>
              <w:t>每</w:t>
            </w:r>
            <w:r>
              <w:rPr>
                <w:rFonts w:hint="eastAsia" w:ascii="Times New Roman" w:hAnsi="Times New Roman" w:eastAsia="宋体" w:cs="Times New Roman"/>
                <w:color w:val="auto"/>
                <w:kern w:val="2"/>
                <w:sz w:val="24"/>
                <w:szCs w:val="24"/>
                <w:highlight w:val="none"/>
                <w:lang w:val="en-US" w:eastAsia="zh-CN" w:bidi="ar-SA"/>
              </w:rPr>
              <w:t>年换一次，产生废布袋0.02t/a，由除尘器厂家检修后直接带走</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sz w:val="24"/>
                <w:szCs w:val="24"/>
                <w:highlight w:val="none"/>
                <w:lang w:eastAsia="zh-CN"/>
              </w:rPr>
              <w:t>类别代码为</w:t>
            </w:r>
            <w:r>
              <w:rPr>
                <w:rFonts w:hint="eastAsia" w:ascii="Times New Roman" w:hAnsi="Times New Roman" w:eastAsia="宋体" w:cs="Times New Roman"/>
                <w:color w:val="auto"/>
                <w:kern w:val="2"/>
                <w:sz w:val="24"/>
                <w:szCs w:val="24"/>
                <w:highlight w:val="none"/>
                <w:lang w:val="en-US" w:eastAsia="zh-CN" w:bidi="ar-SA"/>
              </w:rPr>
              <w:t>900-009-S59。</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（6）不合格粮食</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本项目粮食烘干后仍会有不合格粮食，不合格粮食产生量为1t/a，外售给周边农户。代码为</w:t>
            </w:r>
            <w:r>
              <w:rPr>
                <w:rFonts w:hint="default" w:ascii="Times New Roman" w:hAnsi="Times New Roman" w:eastAsia="宋体" w:cs="Times New Roman"/>
                <w:color w:val="auto"/>
                <w:sz w:val="24"/>
                <w:szCs w:val="24"/>
                <w:highlight w:val="none"/>
                <w:lang w:val="en-US" w:eastAsia="zh-CN"/>
              </w:rPr>
              <w:t>010-099-S80</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40" w:firstLineChars="200"/>
              <w:jc w:val="both"/>
              <w:textAlignment w:val="auto"/>
              <w:rPr>
                <w:rFonts w:hint="default" w:ascii="Times New Roman" w:hAnsi="Times New Roman" w:eastAsia="宋体" w:cs="Times New Roman"/>
                <w:bCs/>
                <w:color w:val="auto"/>
                <w:spacing w:val="-10"/>
                <w:kern w:val="2"/>
                <w:sz w:val="24"/>
                <w:szCs w:val="24"/>
                <w:highlight w:val="none"/>
                <w:lang w:val="en-US" w:eastAsia="zh-CN" w:bidi="ar-SA"/>
              </w:rPr>
            </w:pPr>
            <w:r>
              <w:rPr>
                <w:rFonts w:hint="default" w:ascii="Times New Roman" w:hAnsi="Times New Roman" w:eastAsia="宋体" w:cs="Times New Roman"/>
                <w:bCs/>
                <w:color w:val="auto"/>
                <w:spacing w:val="-10"/>
                <w:kern w:val="2"/>
                <w:sz w:val="24"/>
                <w:szCs w:val="24"/>
                <w:highlight w:val="none"/>
                <w:lang w:val="en-US" w:eastAsia="zh-CN" w:bidi="ar-SA"/>
              </w:rPr>
              <w:t>本项目固体废物处置率100%，对外环境影响较小。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固体废物产生情况见表</w:t>
            </w:r>
            <w:r>
              <w:rPr>
                <w:rFonts w:hint="default" w:ascii="Times New Roman" w:hAnsi="Times New Roman" w:eastAsia="宋体" w:cs="Times New Roman"/>
                <w:color w:val="auto"/>
                <w:sz w:val="24"/>
                <w:highlight w:val="none"/>
                <w:lang w:val="en-US" w:eastAsia="zh-CN"/>
              </w:rPr>
              <w:t>4</w:t>
            </w: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11</w:t>
            </w:r>
            <w:r>
              <w:rPr>
                <w:rFonts w:hint="default" w:ascii="Times New Roman" w:hAnsi="Times New Roman" w:eastAsia="宋体" w:cs="Times New Roman"/>
                <w:color w:val="auto"/>
                <w:sz w:val="24"/>
                <w:highlight w:val="none"/>
              </w:rPr>
              <w:t>。</w:t>
            </w:r>
          </w:p>
          <w:p>
            <w:pPr>
              <w:pStyle w:val="83"/>
              <w:keepNext w:val="0"/>
              <w:keepLines w:val="0"/>
              <w:pageBreakBefore w:val="0"/>
              <w:widowControl w:val="0"/>
              <w:tabs>
                <w:tab w:val="clear" w:pos="605"/>
              </w:tabs>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表4-</w:t>
            </w:r>
            <w:r>
              <w:rPr>
                <w:rFonts w:hint="eastAsia" w:eastAsia="宋体" w:cs="Times New Roman"/>
                <w:color w:val="auto"/>
                <w:sz w:val="21"/>
                <w:szCs w:val="21"/>
                <w:highlight w:val="none"/>
                <w:lang w:val="en-US" w:eastAsia="zh-CN"/>
              </w:rPr>
              <w:t>11</w:t>
            </w:r>
            <w:r>
              <w:rPr>
                <w:rFonts w:hint="default" w:ascii="Times New Roman" w:hAnsi="Times New Roman" w:eastAsia="宋体" w:cs="Times New Roman"/>
                <w:color w:val="auto"/>
                <w:sz w:val="21"/>
                <w:szCs w:val="21"/>
                <w:highlight w:val="none"/>
                <w:lang w:val="en-US" w:eastAsia="zh-CN"/>
              </w:rPr>
              <w:t xml:space="preserve"> 固体废物污染源源强核算结果及相关参数一览表</w:t>
            </w:r>
          </w:p>
          <w:tbl>
            <w:tblPr>
              <w:tblStyle w:val="30"/>
              <w:tblW w:w="7686"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41"/>
              <w:gridCol w:w="1295"/>
              <w:gridCol w:w="1075"/>
              <w:gridCol w:w="1225"/>
              <w:gridCol w:w="1263"/>
              <w:gridCol w:w="168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141" w:type="dxa"/>
                  <w:vMerge w:val="restart"/>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固废属性</w:t>
                  </w:r>
                </w:p>
              </w:tc>
              <w:tc>
                <w:tcPr>
                  <w:tcW w:w="1295" w:type="dxa"/>
                  <w:vMerge w:val="restart"/>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固体废物名称</w:t>
                  </w:r>
                </w:p>
              </w:tc>
              <w:tc>
                <w:tcPr>
                  <w:tcW w:w="2300" w:type="dxa"/>
                  <w:gridSpan w:val="2"/>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产生量</w:t>
                  </w:r>
                </w:p>
              </w:tc>
              <w:tc>
                <w:tcPr>
                  <w:tcW w:w="2950" w:type="dxa"/>
                  <w:gridSpan w:val="2"/>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处置措施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480"/>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480"/>
                    <w:jc w:val="center"/>
                    <w:textAlignment w:val="auto"/>
                    <w:rPr>
                      <w:rFonts w:hint="default" w:ascii="Times New Roman" w:hAnsi="Times New Roman" w:eastAsia="宋体" w:cs="Times New Roman"/>
                      <w:color w:val="auto"/>
                      <w:sz w:val="21"/>
                      <w:szCs w:val="21"/>
                      <w:highlight w:val="none"/>
                      <w:lang w:val="en-US" w:eastAsia="zh-CN"/>
                    </w:rPr>
                  </w:pP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核算方法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产生量（t/a）</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处置量（t/a）</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工艺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39" w:hRule="atLeast"/>
                <w:jc w:val="center"/>
              </w:trPr>
              <w:tc>
                <w:tcPr>
                  <w:tcW w:w="1141"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生活垃圾</w:t>
                  </w: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生活垃圾</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68"/>
                    <w:spacing w:line="240" w:lineRule="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0.15</w:t>
                  </w:r>
                </w:p>
              </w:tc>
              <w:tc>
                <w:tcPr>
                  <w:tcW w:w="1263" w:type="dxa"/>
                  <w:tcBorders>
                    <w:tl2br w:val="nil"/>
                    <w:tr2bl w:val="nil"/>
                  </w:tcBorders>
                  <w:noWrap w:val="0"/>
                  <w:vAlign w:val="center"/>
                </w:tcPr>
                <w:p>
                  <w:pPr>
                    <w:pStyle w:val="68"/>
                    <w:spacing w:line="240" w:lineRule="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0.15</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市政部门处置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40" w:hRule="atLeast"/>
                <w:jc w:val="center"/>
              </w:trPr>
              <w:tc>
                <w:tcPr>
                  <w:tcW w:w="1141" w:type="dxa"/>
                  <w:vMerge w:val="restart"/>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一般工业固体废物</w:t>
                  </w: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粉尘</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市政部门处置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沙泥</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1.5</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1.5</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市政部门处置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1"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灰渣</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256.25</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256.25</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集中收集</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外售</w:t>
                  </w:r>
                  <w:r>
                    <w:rPr>
                      <w:rFonts w:hint="default" w:ascii="Times New Roman" w:hAnsi="Times New Roman" w:eastAsia="宋体" w:cs="Times New Roman"/>
                      <w:color w:val="auto"/>
                      <w:sz w:val="21"/>
                      <w:szCs w:val="21"/>
                      <w:highlight w:val="none"/>
                      <w:lang w:eastAsia="zh-CN"/>
                    </w:rPr>
                    <w:t>综合利用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1"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废布袋</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0.02</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0.02</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厂家回收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1"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不合格粮食</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集中收集</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外售</w:t>
                  </w:r>
                  <w:r>
                    <w:rPr>
                      <w:rFonts w:hint="default" w:ascii="Times New Roman" w:hAnsi="Times New Roman" w:eastAsia="宋体" w:cs="Times New Roman"/>
                      <w:color w:val="auto"/>
                      <w:sz w:val="21"/>
                      <w:szCs w:val="21"/>
                      <w:highlight w:val="none"/>
                      <w:lang w:eastAsia="zh-CN"/>
                    </w:rPr>
                    <w:t>综合利用</w:t>
                  </w:r>
                </w:p>
              </w:tc>
            </w:tr>
          </w:tbl>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40" w:firstLineChars="200"/>
              <w:jc w:val="both"/>
              <w:textAlignment w:val="auto"/>
              <w:rPr>
                <w:rFonts w:hint="default" w:ascii="Times New Roman" w:hAnsi="Times New Roman" w:eastAsia="宋体" w:cs="Times New Roman"/>
                <w:bCs/>
                <w:color w:val="auto"/>
                <w:spacing w:val="-10"/>
                <w:kern w:val="2"/>
                <w:sz w:val="24"/>
                <w:szCs w:val="24"/>
                <w:highlight w:val="none"/>
                <w:lang w:val="en-US" w:eastAsia="zh-CN" w:bidi="ar-SA"/>
              </w:rPr>
            </w:pPr>
            <w:r>
              <w:rPr>
                <w:rFonts w:hint="eastAsia" w:ascii="Times New Roman" w:hAnsi="Times New Roman" w:eastAsia="宋体" w:cs="Times New Roman"/>
                <w:bCs/>
                <w:color w:val="auto"/>
                <w:spacing w:val="-10"/>
                <w:kern w:val="2"/>
                <w:sz w:val="24"/>
                <w:szCs w:val="24"/>
                <w:highlight w:val="none"/>
                <w:lang w:val="en-US" w:eastAsia="zh-CN" w:bidi="ar-SA"/>
              </w:rPr>
              <w:t>综上所述，本项目产生的所有固废均得到了妥善</w:t>
            </w:r>
            <w:r>
              <w:rPr>
                <w:rFonts w:hint="eastAsia" w:cs="Times New Roman"/>
                <w:bCs/>
                <w:color w:val="auto"/>
                <w:spacing w:val="-10"/>
                <w:kern w:val="2"/>
                <w:sz w:val="24"/>
                <w:szCs w:val="24"/>
                <w:highlight w:val="none"/>
                <w:lang w:val="en-US" w:eastAsia="zh-CN" w:bidi="ar-SA"/>
              </w:rPr>
              <w:t>地</w:t>
            </w:r>
            <w:r>
              <w:rPr>
                <w:rFonts w:hint="eastAsia" w:ascii="Times New Roman" w:hAnsi="Times New Roman" w:eastAsia="宋体" w:cs="Times New Roman"/>
                <w:bCs/>
                <w:color w:val="auto"/>
                <w:spacing w:val="-10"/>
                <w:kern w:val="2"/>
                <w:sz w:val="24"/>
                <w:szCs w:val="24"/>
                <w:highlight w:val="none"/>
                <w:lang w:val="en-US" w:eastAsia="zh-CN" w:bidi="ar-SA"/>
              </w:rPr>
              <w:t>处理和应用，对固体废物全部按国家要求进行了处理处置，固体废物处理处置率达到100%，因此，对外环境影响较小。</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auto"/>
                <w:lang w:val="en-US" w:eastAsia="zh-CN"/>
              </w:rPr>
            </w:pPr>
          </w:p>
        </w:tc>
      </w:tr>
    </w:tbl>
    <w:p>
      <w:pPr>
        <w:adjustRightInd w:val="0"/>
        <w:snapToGrid w:val="0"/>
        <w:spacing w:line="360" w:lineRule="auto"/>
        <w:rPr>
          <w:rFonts w:hint="default" w:ascii="Times New Roman" w:hAnsi="Times New Roman" w:cs="Times New Roman"/>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jc w:val="center"/>
        <w:outlineLvl w:val="0"/>
        <w:rPr>
          <w:rFonts w:hint="default" w:ascii="Times New Roman" w:hAnsi="Times New Roman" w:eastAsia="黑体" w:cs="Times New Roman"/>
          <w:snapToGrid w:val="0"/>
          <w:color w:val="auto"/>
          <w:sz w:val="30"/>
          <w:szCs w:val="30"/>
        </w:rPr>
      </w:pPr>
      <w:bookmarkStart w:id="31" w:name="_Toc19727"/>
      <w:bookmarkStart w:id="32" w:name="_Toc12807"/>
      <w:r>
        <w:rPr>
          <w:rFonts w:hint="default" w:ascii="Times New Roman" w:hAnsi="Times New Roman" w:eastAsia="黑体" w:cs="Times New Roman"/>
          <w:snapToGrid w:val="0"/>
          <w:color w:val="auto"/>
          <w:sz w:val="30"/>
          <w:szCs w:val="30"/>
        </w:rPr>
        <w:t>五、</w:t>
      </w:r>
      <w:bookmarkStart w:id="33" w:name="_Hlk54167917"/>
      <w:r>
        <w:rPr>
          <w:rFonts w:hint="default" w:ascii="Times New Roman" w:hAnsi="Times New Roman" w:eastAsia="黑体" w:cs="Times New Roman"/>
          <w:snapToGrid w:val="0"/>
          <w:color w:val="auto"/>
          <w:sz w:val="30"/>
          <w:szCs w:val="30"/>
        </w:rPr>
        <w:t>环境保护措施监督检查清单</w:t>
      </w:r>
      <w:bookmarkEnd w:id="31"/>
      <w:bookmarkEnd w:id="32"/>
      <w:bookmarkEnd w:id="33"/>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93"/>
        <w:gridCol w:w="1811"/>
        <w:gridCol w:w="1527"/>
        <w:gridCol w:w="2682"/>
        <w:gridCol w:w="19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1693" w:type="dxa"/>
            <w:tcBorders>
              <w:tl2br w:val="single" w:color="auto" w:sz="4" w:space="0"/>
            </w:tcBorders>
            <w:noWrap w:val="0"/>
            <w:vAlign w:val="top"/>
          </w:tcPr>
          <w:p>
            <w:pPr>
              <w:adjustRightInd w:val="0"/>
              <w:snapToGrid w:val="0"/>
              <w:ind w:firstLine="720" w:firstLineChars="3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内容</w:t>
            </w:r>
          </w:p>
          <w:p>
            <w:pPr>
              <w:adjustRightInd w:val="0"/>
              <w:snapToGrid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要素</w:t>
            </w:r>
          </w:p>
        </w:tc>
        <w:tc>
          <w:tcPr>
            <w:tcW w:w="1811"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排放口</w:t>
            </w:r>
            <w:r>
              <w:rPr>
                <w:rFonts w:hint="eastAsia" w:cs="Times New Roman"/>
                <w:color w:val="auto"/>
                <w:sz w:val="24"/>
                <w:szCs w:val="24"/>
                <w:lang w:eastAsia="zh-CN"/>
              </w:rPr>
              <w:t>（</w:t>
            </w:r>
            <w:r>
              <w:rPr>
                <w:rFonts w:hint="default" w:ascii="Times New Roman" w:hAnsi="Times New Roman" w:cs="Times New Roman"/>
                <w:color w:val="auto"/>
                <w:sz w:val="24"/>
                <w:szCs w:val="24"/>
              </w:rPr>
              <w:t>编号、</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名称</w:t>
            </w:r>
            <w:r>
              <w:rPr>
                <w:rFonts w:hint="eastAsia" w:cs="Times New Roman"/>
                <w:color w:val="auto"/>
                <w:sz w:val="24"/>
                <w:szCs w:val="24"/>
                <w:lang w:eastAsia="zh-CN"/>
              </w:rPr>
              <w:t>）</w:t>
            </w:r>
            <w:r>
              <w:rPr>
                <w:rFonts w:hint="default" w:ascii="Times New Roman" w:hAnsi="Times New Roman" w:cs="Times New Roman"/>
                <w:color w:val="auto"/>
                <w:sz w:val="24"/>
                <w:szCs w:val="24"/>
              </w:rPr>
              <w:t>/污染源</w:t>
            </w:r>
          </w:p>
        </w:tc>
        <w:tc>
          <w:tcPr>
            <w:tcW w:w="1527"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污染物项目</w:t>
            </w:r>
          </w:p>
        </w:tc>
        <w:tc>
          <w:tcPr>
            <w:tcW w:w="2682"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环境保护措施</w:t>
            </w:r>
          </w:p>
        </w:tc>
        <w:tc>
          <w:tcPr>
            <w:tcW w:w="1925"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jc w:val="center"/>
        </w:trPr>
        <w:tc>
          <w:tcPr>
            <w:tcW w:w="1693" w:type="dxa"/>
            <w:vMerge w:val="restart"/>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大气环境</w:t>
            </w:r>
          </w:p>
        </w:tc>
        <w:tc>
          <w:tcPr>
            <w:tcW w:w="1811"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装卸、筛分、输送</w:t>
            </w:r>
            <w:r>
              <w:rPr>
                <w:rFonts w:hint="eastAsia" w:ascii="Times New Roman" w:hAnsi="Times New Roman" w:eastAsia="宋体" w:cs="Times New Roman"/>
                <w:color w:val="auto"/>
                <w:sz w:val="24"/>
                <w:szCs w:val="24"/>
                <w:lang w:val="en-US" w:eastAsia="zh-CN"/>
              </w:rPr>
              <w:t>、</w:t>
            </w:r>
            <w:r>
              <w:rPr>
                <w:rFonts w:hint="eastAsia"/>
                <w:color w:val="auto"/>
                <w:sz w:val="24"/>
                <w:szCs w:val="24"/>
                <w:lang w:eastAsia="zh-CN"/>
              </w:rPr>
              <w:t>烘干塔</w:t>
            </w:r>
            <w:r>
              <w:rPr>
                <w:rFonts w:hint="default" w:ascii="Times New Roman" w:hAnsi="Times New Roman" w:eastAsia="宋体" w:cs="Times New Roman"/>
                <w:color w:val="auto"/>
                <w:sz w:val="24"/>
                <w:szCs w:val="24"/>
                <w:lang w:val="en-US" w:eastAsia="zh-CN"/>
              </w:rPr>
              <w:t>等过程</w:t>
            </w:r>
          </w:p>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（无组织）</w:t>
            </w: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颗粒物</w:t>
            </w:r>
          </w:p>
        </w:tc>
        <w:tc>
          <w:tcPr>
            <w:tcW w:w="2682" w:type="dxa"/>
            <w:noWrap w:val="0"/>
            <w:vAlign w:val="center"/>
          </w:tcPr>
          <w:p>
            <w:pPr>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aps w:val="0"/>
                <w:smallCaps w:val="0"/>
                <w:snapToGrid w:val="0"/>
                <w:color w:val="auto"/>
                <w:kern w:val="0"/>
                <w:sz w:val="24"/>
                <w:szCs w:val="24"/>
                <w:highlight w:val="none"/>
                <w:lang w:val="en-US" w:eastAsia="zh-CN" w:bidi="ar-SA"/>
              </w:rPr>
              <w:t>粮食仓库封闭，封闭传送带，装卸区设置遮挡设施，</w:t>
            </w:r>
            <w:r>
              <w:rPr>
                <w:rFonts w:hint="default" w:ascii="Times New Roman" w:hAnsi="Times New Roman" w:cs="Times New Roman"/>
                <w:color w:val="auto"/>
                <w:sz w:val="24"/>
                <w:szCs w:val="24"/>
                <w:lang w:val="en-US" w:eastAsia="zh-CN"/>
              </w:rPr>
              <w:t>采用封闭式清理筛，</w:t>
            </w:r>
            <w:r>
              <w:rPr>
                <w:rFonts w:hint="eastAsia" w:ascii="Times New Roman" w:hAnsi="Times New Roman" w:eastAsia="宋体" w:cs="Times New Roman"/>
                <w:b w:val="0"/>
                <w:bCs w:val="0"/>
                <w:i w:val="0"/>
                <w:iCs w:val="0"/>
                <w:color w:val="auto"/>
                <w:spacing w:val="0"/>
                <w:kern w:val="0"/>
                <w:sz w:val="24"/>
                <w:szCs w:val="24"/>
                <w:lang w:val="en-US" w:eastAsia="zh-CN"/>
              </w:rPr>
              <w:t>烘干塔体两侧排气孔设置折流挡板</w:t>
            </w:r>
          </w:p>
        </w:tc>
        <w:tc>
          <w:tcPr>
            <w:tcW w:w="1925"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《大气污染物综合排放标准》（GB16297-1996）表2中无组织排放浓度监控限值要求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vMerge w:val="restart"/>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DA001</w:t>
            </w:r>
          </w:p>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热风炉烟囱</w:t>
            </w:r>
          </w:p>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（有组织）</w:t>
            </w:r>
          </w:p>
        </w:tc>
        <w:tc>
          <w:tcPr>
            <w:tcW w:w="1527" w:type="dxa"/>
            <w:noWrap w:val="0"/>
            <w:vAlign w:val="center"/>
          </w:tcPr>
          <w:p>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颗粒物</w:t>
            </w:r>
          </w:p>
        </w:tc>
        <w:tc>
          <w:tcPr>
            <w:tcW w:w="2682" w:type="dxa"/>
            <w:vMerge w:val="restart"/>
            <w:noWrap w:val="0"/>
            <w:vAlign w:val="center"/>
          </w:tcPr>
          <w:p>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szCs w:val="24"/>
                <w:lang w:val="en-US" w:eastAsia="zh-CN"/>
              </w:rPr>
              <w:t>采用低氮燃烧技术+</w:t>
            </w:r>
            <w:r>
              <w:rPr>
                <w:rFonts w:hint="default" w:ascii="Times New Roman" w:hAnsi="Times New Roman" w:cs="Times New Roman"/>
                <w:color w:val="auto"/>
                <w:sz w:val="24"/>
                <w:szCs w:val="24"/>
                <w:lang w:val="en-US" w:eastAsia="zh-CN"/>
              </w:rPr>
              <w:t>布袋除尘器</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15m高烟囱</w:t>
            </w:r>
          </w:p>
        </w:tc>
        <w:tc>
          <w:tcPr>
            <w:tcW w:w="1925" w:type="dxa"/>
            <w:vMerge w:val="restart"/>
            <w:noWrap w:val="0"/>
            <w:vAlign w:val="center"/>
          </w:tcPr>
          <w:p>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《工业炉窑大气污染物排放标准》（GB9078-1996）表2、表4中标准要求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二氧化硫</w:t>
            </w:r>
          </w:p>
        </w:tc>
        <w:tc>
          <w:tcPr>
            <w:tcW w:w="2682" w:type="dxa"/>
            <w:vMerge w:val="continue"/>
            <w:noWrap w:val="0"/>
            <w:vAlign w:val="center"/>
          </w:tcPr>
          <w:p>
            <w:pPr>
              <w:adjustRightInd w:val="0"/>
              <w:snapToGrid w:val="0"/>
              <w:jc w:val="center"/>
              <w:rPr>
                <w:rFonts w:hint="default" w:ascii="Times New Roman" w:hAnsi="Times New Roman" w:cs="Times New Roman"/>
                <w:color w:val="auto"/>
                <w:sz w:val="24"/>
                <w:szCs w:val="24"/>
                <w:lang w:val="en-US" w:eastAsia="zh-CN"/>
              </w:rPr>
            </w:pPr>
          </w:p>
        </w:tc>
        <w:tc>
          <w:tcPr>
            <w:tcW w:w="1925"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烟气黑度</w:t>
            </w:r>
          </w:p>
        </w:tc>
        <w:tc>
          <w:tcPr>
            <w:tcW w:w="2682" w:type="dxa"/>
            <w:vMerge w:val="continue"/>
            <w:noWrap w:val="0"/>
            <w:vAlign w:val="center"/>
          </w:tcPr>
          <w:p>
            <w:pPr>
              <w:adjustRightInd w:val="0"/>
              <w:snapToGrid w:val="0"/>
              <w:jc w:val="center"/>
              <w:rPr>
                <w:rFonts w:hint="default" w:ascii="Times New Roman" w:hAnsi="Times New Roman" w:cs="Times New Roman"/>
                <w:color w:val="auto"/>
                <w:sz w:val="24"/>
                <w:szCs w:val="24"/>
                <w:lang w:val="en-US" w:eastAsia="zh-CN"/>
              </w:rPr>
            </w:pPr>
          </w:p>
        </w:tc>
        <w:tc>
          <w:tcPr>
            <w:tcW w:w="1925"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氮氧化物</w:t>
            </w:r>
          </w:p>
        </w:tc>
        <w:tc>
          <w:tcPr>
            <w:tcW w:w="2682" w:type="dxa"/>
            <w:vMerge w:val="continue"/>
            <w:noWrap w:val="0"/>
            <w:vAlign w:val="center"/>
          </w:tcPr>
          <w:p>
            <w:pPr>
              <w:adjustRightInd w:val="0"/>
              <w:snapToGrid w:val="0"/>
              <w:jc w:val="center"/>
              <w:rPr>
                <w:rFonts w:hint="default" w:ascii="Times New Roman" w:hAnsi="Times New Roman" w:cs="Times New Roman"/>
                <w:color w:val="auto"/>
                <w:sz w:val="24"/>
                <w:szCs w:val="24"/>
                <w:lang w:val="en-US" w:eastAsia="zh-CN"/>
              </w:rPr>
            </w:pPr>
          </w:p>
        </w:tc>
        <w:tc>
          <w:tcPr>
            <w:tcW w:w="1925"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6" w:hRule="atLeast"/>
          <w:jc w:val="center"/>
        </w:trPr>
        <w:tc>
          <w:tcPr>
            <w:tcW w:w="1693" w:type="dxa"/>
            <w:vMerge w:val="restart"/>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地表水环境</w:t>
            </w:r>
          </w:p>
        </w:tc>
        <w:tc>
          <w:tcPr>
            <w:tcW w:w="1811"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生活污水</w:t>
            </w: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COD</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氨氮</w:t>
            </w:r>
            <w:r>
              <w:rPr>
                <w:rFonts w:hint="eastAsia" w:ascii="Times New Roman" w:hAnsi="Times New Roman" w:eastAsia="宋体" w:cs="Times New Roman"/>
                <w:color w:val="auto"/>
                <w:sz w:val="24"/>
                <w:szCs w:val="24"/>
                <w:lang w:val="en-US" w:eastAsia="zh-CN"/>
              </w:rPr>
              <w:t>、BOD</w:t>
            </w:r>
            <w:r>
              <w:rPr>
                <w:rFonts w:hint="eastAsia" w:ascii="Times New Roman" w:hAnsi="Times New Roman" w:eastAsia="宋体" w:cs="Times New Roman"/>
                <w:color w:val="auto"/>
                <w:sz w:val="24"/>
                <w:szCs w:val="24"/>
                <w:vertAlign w:val="subscript"/>
                <w:lang w:val="en-US" w:eastAsia="zh-CN"/>
              </w:rPr>
              <w:t>5</w:t>
            </w:r>
            <w:r>
              <w:rPr>
                <w:rFonts w:hint="eastAsia" w:ascii="Times New Roman" w:hAnsi="Times New Roman" w:eastAsia="宋体" w:cs="Times New Roman"/>
                <w:color w:val="auto"/>
                <w:sz w:val="24"/>
                <w:szCs w:val="24"/>
                <w:lang w:val="en-US" w:eastAsia="zh-CN"/>
              </w:rPr>
              <w:t>、SS、动植物油</w:t>
            </w:r>
          </w:p>
        </w:tc>
        <w:tc>
          <w:tcPr>
            <w:tcW w:w="2682"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生活污水</w:t>
            </w:r>
            <w:r>
              <w:rPr>
                <w:rFonts w:hint="default" w:ascii="Times New Roman" w:hAnsi="Times New Roman" w:cs="Times New Roman"/>
                <w:color w:val="auto"/>
                <w:sz w:val="24"/>
                <w:szCs w:val="24"/>
                <w:lang w:val="en-US" w:eastAsia="zh-CN"/>
              </w:rPr>
              <w:t>排入厂内防渗旱厕，定期清掏，堆肥处置</w:t>
            </w:r>
          </w:p>
        </w:tc>
        <w:tc>
          <w:tcPr>
            <w:tcW w:w="1925" w:type="dxa"/>
            <w:noWrap w:val="0"/>
            <w:vAlign w:val="center"/>
          </w:tcPr>
          <w:p>
            <w:pPr>
              <w:adjustRightInd w:val="0"/>
              <w:snapToGrid w:val="0"/>
              <w:jc w:val="center"/>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6"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初期雨水</w:t>
            </w:r>
          </w:p>
        </w:tc>
        <w:tc>
          <w:tcPr>
            <w:tcW w:w="1527"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SS</w:t>
            </w:r>
          </w:p>
        </w:tc>
        <w:tc>
          <w:tcPr>
            <w:tcW w:w="2682"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沉淀后用于灰渣降尘</w:t>
            </w:r>
          </w:p>
        </w:tc>
        <w:tc>
          <w:tcPr>
            <w:tcW w:w="1925"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45"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声环境</w:t>
            </w:r>
          </w:p>
        </w:tc>
        <w:tc>
          <w:tcPr>
            <w:tcW w:w="1811"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清粮筛分机、输送机、风机、烘干塔等设备</w:t>
            </w: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机械噪声</w:t>
            </w:r>
          </w:p>
        </w:tc>
        <w:tc>
          <w:tcPr>
            <w:tcW w:w="2682"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选用低噪声设备，</w:t>
            </w:r>
            <w:r>
              <w:rPr>
                <w:rFonts w:hint="eastAsia" w:cs="Times New Roman"/>
                <w:color w:val="auto"/>
                <w:sz w:val="24"/>
                <w:szCs w:val="24"/>
                <w:lang w:val="en-US" w:eastAsia="zh-CN"/>
              </w:rPr>
              <w:t>采取隔声、减振</w:t>
            </w:r>
            <w:r>
              <w:rPr>
                <w:rFonts w:hint="default" w:ascii="Times New Roman" w:hAnsi="Times New Roman" w:cs="Times New Roman"/>
                <w:color w:val="auto"/>
                <w:sz w:val="24"/>
                <w:szCs w:val="24"/>
              </w:rPr>
              <w:t>等措施</w:t>
            </w:r>
          </w:p>
        </w:tc>
        <w:tc>
          <w:tcPr>
            <w:tcW w:w="1925"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厂界噪声执行</w:t>
            </w:r>
            <w:r>
              <w:rPr>
                <w:rFonts w:hint="default" w:ascii="Times New Roman" w:hAnsi="Times New Roman" w:cs="Times New Roman"/>
                <w:color w:val="auto"/>
                <w:sz w:val="24"/>
                <w:szCs w:val="24"/>
              </w:rPr>
              <w:t>《工业企业厂界环境噪声排放标准》（GB12348-2008）表1中</w:t>
            </w:r>
            <w:r>
              <w:rPr>
                <w:rFonts w:hint="eastAsia"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类标准的要求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电磁辐射</w:t>
            </w:r>
          </w:p>
        </w:tc>
        <w:tc>
          <w:tcPr>
            <w:tcW w:w="1811"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2682"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925"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固体废物</w:t>
            </w:r>
          </w:p>
        </w:tc>
        <w:tc>
          <w:tcPr>
            <w:tcW w:w="794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4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Cs/>
                <w:color w:val="auto"/>
                <w:spacing w:val="-10"/>
                <w:sz w:val="24"/>
                <w:szCs w:val="24"/>
                <w:highlight w:val="none"/>
                <w:lang w:val="en-US" w:eastAsia="zh-CN"/>
              </w:rPr>
              <w:t>生活垃圾、清理原粮中的杂质（泥沙）集中收集，统一收集</w:t>
            </w:r>
            <w:r>
              <w:rPr>
                <w:rFonts w:hint="eastAsia" w:cs="Times New Roman"/>
                <w:bCs/>
                <w:color w:val="auto"/>
                <w:spacing w:val="-10"/>
                <w:sz w:val="24"/>
                <w:szCs w:val="24"/>
                <w:highlight w:val="none"/>
                <w:lang w:val="en-US" w:eastAsia="zh-CN"/>
              </w:rPr>
              <w:t>，外售综合利用</w:t>
            </w:r>
            <w:r>
              <w:rPr>
                <w:rFonts w:hint="default" w:ascii="Times New Roman" w:hAnsi="Times New Roman" w:eastAsia="宋体" w:cs="Times New Roman"/>
                <w:color w:val="auto"/>
                <w:sz w:val="24"/>
                <w:szCs w:val="24"/>
                <w:highlight w:val="none"/>
              </w:rPr>
              <w:t>。</w:t>
            </w:r>
            <w:r>
              <w:rPr>
                <w:rFonts w:hint="eastAsia" w:cs="Times New Roman"/>
                <w:bCs/>
                <w:color w:val="auto"/>
                <w:spacing w:val="-10"/>
                <w:sz w:val="24"/>
                <w:szCs w:val="24"/>
                <w:highlight w:val="none"/>
                <w:lang w:val="en-US" w:eastAsia="zh-CN"/>
              </w:rPr>
              <w:t>灰渣</w:t>
            </w:r>
            <w:r>
              <w:rPr>
                <w:rFonts w:hint="default" w:ascii="Times New Roman" w:hAnsi="Times New Roman" w:eastAsia="宋体" w:cs="Times New Roman"/>
                <w:bCs/>
                <w:color w:val="auto"/>
                <w:spacing w:val="-10"/>
                <w:sz w:val="24"/>
                <w:szCs w:val="24"/>
                <w:highlight w:val="none"/>
                <w:lang w:val="en-US" w:eastAsia="zh-CN"/>
              </w:rPr>
              <w:t>集中收集，外售综合利用。装卸、筛分、输送</w:t>
            </w:r>
            <w:r>
              <w:rPr>
                <w:rFonts w:hint="eastAsia" w:ascii="Times New Roman" w:hAnsi="Times New Roman" w:eastAsia="宋体" w:cs="Times New Roman"/>
                <w:bCs/>
                <w:color w:val="auto"/>
                <w:spacing w:val="-10"/>
                <w:sz w:val="24"/>
                <w:szCs w:val="24"/>
                <w:highlight w:val="none"/>
                <w:lang w:val="en-US" w:eastAsia="zh-CN"/>
              </w:rPr>
              <w:t>、</w:t>
            </w:r>
            <w:r>
              <w:rPr>
                <w:rFonts w:hint="eastAsia"/>
                <w:color w:val="auto"/>
                <w:sz w:val="24"/>
                <w:szCs w:val="24"/>
                <w:lang w:eastAsia="zh-CN"/>
              </w:rPr>
              <w:t>烘干塔运行</w:t>
            </w:r>
            <w:r>
              <w:rPr>
                <w:rFonts w:hint="default" w:ascii="Times New Roman" w:hAnsi="Times New Roman" w:eastAsia="宋体" w:cs="Times New Roman"/>
                <w:bCs/>
                <w:color w:val="auto"/>
                <w:spacing w:val="-10"/>
                <w:sz w:val="24"/>
                <w:szCs w:val="24"/>
                <w:highlight w:val="none"/>
                <w:lang w:val="en-US" w:eastAsia="zh-CN"/>
              </w:rPr>
              <w:t>产生的</w:t>
            </w:r>
            <w:r>
              <w:rPr>
                <w:rFonts w:hint="default" w:ascii="Times New Roman" w:hAnsi="Times New Roman" w:cs="Times New Roman"/>
                <w:color w:val="auto"/>
                <w:sz w:val="24"/>
                <w:szCs w:val="24"/>
                <w:highlight w:val="none"/>
                <w:lang w:eastAsia="zh-CN"/>
              </w:rPr>
              <w:t>粉尘</w:t>
            </w:r>
            <w:r>
              <w:rPr>
                <w:rFonts w:hint="default" w:ascii="Times New Roman" w:hAnsi="Times New Roman" w:eastAsia="宋体" w:cs="Times New Roman"/>
                <w:bCs/>
                <w:color w:val="auto"/>
                <w:spacing w:val="-10"/>
                <w:sz w:val="24"/>
                <w:szCs w:val="24"/>
                <w:highlight w:val="none"/>
                <w:lang w:val="en-US" w:eastAsia="zh-CN"/>
              </w:rPr>
              <w:t>，集中收集，</w:t>
            </w:r>
            <w:r>
              <w:rPr>
                <w:rFonts w:hint="eastAsia" w:cs="Times New Roman"/>
                <w:bCs/>
                <w:color w:val="auto"/>
                <w:spacing w:val="-10"/>
                <w:sz w:val="24"/>
                <w:szCs w:val="24"/>
                <w:highlight w:val="none"/>
                <w:lang w:val="en-US" w:eastAsia="zh-CN"/>
              </w:rPr>
              <w:t>外售综合利用</w:t>
            </w:r>
            <w:r>
              <w:rPr>
                <w:rFonts w:hint="default" w:ascii="Times New Roman" w:hAnsi="Times New Roman" w:eastAsia="宋体" w:cs="Times New Roman"/>
                <w:bCs/>
                <w:color w:val="auto"/>
                <w:spacing w:val="-10"/>
                <w:sz w:val="24"/>
                <w:szCs w:val="24"/>
                <w:highlight w:val="none"/>
                <w:lang w:val="en-US" w:eastAsia="zh-CN"/>
              </w:rPr>
              <w:t>。</w:t>
            </w:r>
            <w:r>
              <w:rPr>
                <w:rFonts w:hint="eastAsia" w:cs="Times New Roman"/>
                <w:bCs/>
                <w:color w:val="auto"/>
                <w:spacing w:val="-10"/>
                <w:sz w:val="24"/>
                <w:szCs w:val="24"/>
                <w:highlight w:val="none"/>
                <w:lang w:val="en-US" w:eastAsia="zh-CN"/>
              </w:rPr>
              <w:t>废布袋由厂家回收处置，产生的不合格粮食外售给周边农户。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土壤及地下水</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污染防治措施</w:t>
            </w:r>
          </w:p>
        </w:tc>
        <w:tc>
          <w:tcPr>
            <w:tcW w:w="7945" w:type="dxa"/>
            <w:gridSpan w:val="4"/>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生态保护措施</w:t>
            </w:r>
          </w:p>
        </w:tc>
        <w:tc>
          <w:tcPr>
            <w:tcW w:w="794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3" w:hRule="atLeast"/>
          <w:jc w:val="center"/>
        </w:trPr>
        <w:tc>
          <w:tcPr>
            <w:tcW w:w="1693" w:type="dxa"/>
            <w:noWrap w:val="0"/>
            <w:vAlign w:val="center"/>
          </w:tcPr>
          <w:p>
            <w:pPr>
              <w:adjustRightInd w:val="0"/>
              <w:snapToGrid w:val="0"/>
              <w:jc w:val="center"/>
              <w:rPr>
                <w:rFonts w:hint="default" w:ascii="Times New Roman" w:hAnsi="Times New Roman" w:cs="Times New Roman"/>
                <w:color w:val="auto"/>
                <w:spacing w:val="-8"/>
                <w:sz w:val="24"/>
                <w:szCs w:val="24"/>
              </w:rPr>
            </w:pPr>
            <w:r>
              <w:rPr>
                <w:rFonts w:hint="default" w:ascii="Times New Roman" w:hAnsi="Times New Roman" w:cs="Times New Roman"/>
                <w:color w:val="auto"/>
                <w:spacing w:val="-8"/>
                <w:sz w:val="24"/>
                <w:szCs w:val="24"/>
              </w:rPr>
              <w:t>环境风险</w:t>
            </w:r>
          </w:p>
          <w:p>
            <w:pPr>
              <w:adjustRightInd w:val="0"/>
              <w:snapToGrid w:val="0"/>
              <w:jc w:val="center"/>
              <w:rPr>
                <w:rFonts w:hint="default" w:ascii="Times New Roman" w:hAnsi="Times New Roman" w:cs="Times New Roman"/>
                <w:color w:val="auto"/>
                <w:spacing w:val="-8"/>
                <w:sz w:val="24"/>
                <w:szCs w:val="24"/>
              </w:rPr>
            </w:pPr>
            <w:r>
              <w:rPr>
                <w:rFonts w:hint="default" w:ascii="Times New Roman" w:hAnsi="Times New Roman" w:cs="Times New Roman"/>
                <w:color w:val="auto"/>
                <w:spacing w:val="-8"/>
                <w:sz w:val="24"/>
                <w:szCs w:val="24"/>
              </w:rPr>
              <w:t>防范措施</w:t>
            </w:r>
          </w:p>
        </w:tc>
        <w:tc>
          <w:tcPr>
            <w:tcW w:w="794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40" w:firstLineChars="200"/>
              <w:jc w:val="both"/>
              <w:textAlignment w:val="auto"/>
              <w:rPr>
                <w:rFonts w:hint="eastAsia" w:ascii="Times New Roman" w:hAnsi="Times New Roman" w:eastAsia="宋体" w:cs="Times New Roman"/>
                <w:bCs/>
                <w:color w:val="auto"/>
                <w:spacing w:val="-10"/>
                <w:sz w:val="24"/>
                <w:szCs w:val="24"/>
                <w:highlight w:val="none"/>
                <w:lang w:val="en-US" w:eastAsia="zh-CN"/>
              </w:rPr>
            </w:pPr>
            <w:r>
              <w:rPr>
                <w:rFonts w:hint="eastAsia" w:ascii="Times New Roman" w:hAnsi="Times New Roman" w:eastAsia="宋体" w:cs="Times New Roman"/>
                <w:bCs/>
                <w:color w:val="auto"/>
                <w:spacing w:val="-10"/>
                <w:sz w:val="24"/>
                <w:szCs w:val="24"/>
                <w:highlight w:val="none"/>
                <w:lang w:val="en-US" w:eastAsia="zh-CN"/>
              </w:rPr>
              <w:t>加强操作人员的岗位培训，严格遵守规程。对事故易发处按规定时间巡检，发现问题及早解决。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26" w:hRule="atLeast"/>
          <w:jc w:val="center"/>
        </w:trPr>
        <w:tc>
          <w:tcPr>
            <w:tcW w:w="1693" w:type="dxa"/>
            <w:noWrap w:val="0"/>
            <w:vAlign w:val="center"/>
          </w:tcPr>
          <w:p>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其他环境</w:t>
            </w:r>
          </w:p>
          <w:p>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管理要求</w:t>
            </w:r>
          </w:p>
        </w:tc>
        <w:tc>
          <w:tcPr>
            <w:tcW w:w="7945" w:type="dxa"/>
            <w:gridSpan w:val="4"/>
            <w:noWrap w:val="0"/>
            <w:vAlign w:val="center"/>
          </w:tcPr>
          <w:p>
            <w:pPr>
              <w:adjustRightInd w:val="0"/>
              <w:snapToGrid w:val="0"/>
              <w:jc w:val="center"/>
              <w:rPr>
                <w:rFonts w:hint="default" w:ascii="Times New Roman" w:hAnsi="Times New Roman" w:eastAsia="宋体" w:cs="Times New Roman"/>
                <w:color w:val="auto"/>
                <w:sz w:val="24"/>
                <w:szCs w:val="24"/>
              </w:rPr>
            </w:pPr>
            <w:r>
              <w:rPr>
                <w:rFonts w:ascii="Times New Roman" w:hAnsi="Times New Roman" w:eastAsia="宋体"/>
                <w:color w:val="auto"/>
                <w:sz w:val="24"/>
                <w:szCs w:val="24"/>
                <w:highlight w:val="none"/>
              </w:rPr>
              <w:t>本项目属于《固定污染源排污许可分类管理名录（2019年版）》中</w:t>
            </w:r>
            <w:r>
              <w:rPr>
                <w:rFonts w:hint="eastAsia" w:ascii="Times New Roman" w:hAnsi="Times New Roman" w:eastAsia="宋体"/>
                <w:color w:val="auto"/>
                <w:sz w:val="24"/>
                <w:szCs w:val="24"/>
                <w:highlight w:val="none"/>
                <w:lang w:val="en-US" w:eastAsia="zh-CN"/>
              </w:rPr>
              <w:t>五</w:t>
            </w:r>
            <w:r>
              <w:rPr>
                <w:rFonts w:hint="eastAsia"/>
                <w:color w:val="auto"/>
                <w:sz w:val="24"/>
                <w:szCs w:val="24"/>
                <w:highlight w:val="none"/>
                <w:lang w:val="en-US" w:eastAsia="zh-CN"/>
              </w:rPr>
              <w:t>十</w:t>
            </w:r>
            <w:r>
              <w:rPr>
                <w:rFonts w:hint="eastAsia" w:ascii="Times New Roman" w:hAnsi="Times New Roman" w:eastAsia="宋体"/>
                <w:color w:val="auto"/>
                <w:sz w:val="24"/>
                <w:szCs w:val="24"/>
                <w:highlight w:val="none"/>
                <w:lang w:val="en-US" w:eastAsia="zh-CN"/>
              </w:rPr>
              <w:t>一中110</w:t>
            </w:r>
            <w:r>
              <w:rPr>
                <w:rFonts w:ascii="Times New Roman" w:hAnsi="Times New Roman" w:eastAsia="宋体"/>
                <w:color w:val="auto"/>
                <w:sz w:val="24"/>
                <w:szCs w:val="24"/>
                <w:highlight w:val="none"/>
              </w:rPr>
              <w:t>，</w:t>
            </w:r>
            <w:r>
              <w:rPr>
                <w:rFonts w:hint="eastAsia" w:ascii="Times New Roman" w:hAnsi="Times New Roman" w:eastAsia="宋体"/>
                <w:color w:val="auto"/>
                <w:sz w:val="24"/>
                <w:szCs w:val="24"/>
                <w:highlight w:val="none"/>
                <w:lang w:val="en-US" w:eastAsia="zh-CN"/>
              </w:rPr>
              <w:t>工业炉窑，除纳入重点排污单位名录的，除以天然气或者电为能源的加热炉，热处理炉，干燥炉窑以外的其他工业炉窑</w:t>
            </w:r>
            <w:r>
              <w:rPr>
                <w:rFonts w:ascii="Times New Roman" w:hAnsi="Times New Roman" w:eastAsia="宋体"/>
                <w:color w:val="auto"/>
                <w:sz w:val="24"/>
                <w:szCs w:val="24"/>
                <w:highlight w:val="none"/>
              </w:rPr>
              <w:t>，因此实行</w:t>
            </w:r>
            <w:r>
              <w:rPr>
                <w:rFonts w:hint="eastAsia" w:ascii="Times New Roman" w:hAnsi="Times New Roman" w:eastAsia="宋体"/>
                <w:color w:val="auto"/>
                <w:sz w:val="24"/>
                <w:szCs w:val="24"/>
                <w:highlight w:val="none"/>
                <w:lang w:val="en-US" w:eastAsia="zh-CN"/>
              </w:rPr>
              <w:t>简化管理</w:t>
            </w:r>
            <w:r>
              <w:rPr>
                <w:rFonts w:ascii="Times New Roman" w:hAnsi="Times New Roman" w:eastAsia="宋体"/>
                <w:color w:val="auto"/>
                <w:sz w:val="24"/>
                <w:szCs w:val="24"/>
                <w:highlight w:val="none"/>
              </w:rPr>
              <w:t>。</w:t>
            </w:r>
          </w:p>
        </w:tc>
      </w:tr>
    </w:tbl>
    <w:p>
      <w:pPr>
        <w:pStyle w:val="25"/>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cs="Times New Roman"/>
          <w:snapToGrid w:val="0"/>
          <w:color w:val="auto"/>
        </w:rPr>
        <w:br w:type="page"/>
      </w:r>
      <w:bookmarkStart w:id="34" w:name="_Toc10988"/>
      <w:bookmarkStart w:id="35" w:name="_Toc30963"/>
      <w:r>
        <w:rPr>
          <w:rFonts w:hint="default" w:ascii="Times New Roman" w:hAnsi="Times New Roman" w:eastAsia="黑体" w:cs="Times New Roman"/>
          <w:snapToGrid w:val="0"/>
          <w:color w:val="auto"/>
          <w:sz w:val="30"/>
          <w:szCs w:val="30"/>
        </w:rPr>
        <w:t>六、结论</w:t>
      </w:r>
      <w:bookmarkEnd w:id="34"/>
      <w:bookmarkEnd w:id="35"/>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63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991" w:hRule="atLeast"/>
          <w:jc w:val="center"/>
        </w:trPr>
        <w:tc>
          <w:tcPr>
            <w:tcW w:w="9638" w:type="dxa"/>
            <w:noWrap w:val="0"/>
            <w:vAlign w:val="top"/>
          </w:tcPr>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4"/>
                <w:szCs w:val="24"/>
                <w:highlight w:val="none"/>
                <w:lang w:eastAsia="zh-CN"/>
              </w:rPr>
              <w:t>本项目运营中将会对评价范围的地表水环境、环境空气、声环境产生一定的不利影响，本项目在确保严格落实本报告表提出的污染物防治措施的前提下，对地表水环境、环境空气、声环境等的影响较小，可以被周围环境所接受，能够做到社会效益、经济效益和环境效益的统一。因此，本项目的建设从环境保护的角度而言是可行的。</w:t>
            </w:r>
          </w:p>
        </w:tc>
      </w:tr>
    </w:tbl>
    <w:p>
      <w:pPr>
        <w:rPr>
          <w:rFonts w:hint="default" w:ascii="Times New Roman" w:hAnsi="Times New Roman" w:cs="Times New Roman"/>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adjustRightInd w:val="0"/>
        <w:snapToGrid w:val="0"/>
        <w:spacing w:before="0" w:beforeAutospacing="0" w:after="0" w:afterAutospacing="0" w:line="648" w:lineRule="auto"/>
        <w:outlineLvl w:val="0"/>
        <w:rPr>
          <w:rFonts w:hint="default" w:ascii="Times New Roman" w:hAnsi="Times New Roman" w:eastAsia="黑体" w:cs="Times New Roman"/>
          <w:snapToGrid w:val="0"/>
          <w:color w:val="auto"/>
          <w:sz w:val="28"/>
          <w:szCs w:val="28"/>
        </w:rPr>
      </w:pPr>
      <w:bookmarkStart w:id="36" w:name="_Toc4565"/>
      <w:bookmarkStart w:id="37" w:name="_Toc29721"/>
      <w:r>
        <w:rPr>
          <w:rFonts w:hint="default" w:ascii="Times New Roman" w:hAnsi="Times New Roman" w:eastAsia="黑体" w:cs="Times New Roman"/>
          <w:snapToGrid w:val="0"/>
          <w:color w:val="auto"/>
          <w:sz w:val="32"/>
          <w:szCs w:val="32"/>
        </w:rPr>
        <w:t>附表</w:t>
      </w:r>
      <w:bookmarkEnd w:id="36"/>
      <w:bookmarkEnd w:id="37"/>
    </w:p>
    <w:p>
      <w:pPr>
        <w:bidi w:val="0"/>
        <w:jc w:val="center"/>
        <w:outlineLvl w:val="0"/>
        <w:rPr>
          <w:rFonts w:hint="default" w:ascii="Times New Roman" w:hAnsi="Times New Roman" w:cs="Times New Roman"/>
          <w:color w:val="auto"/>
          <w:sz w:val="28"/>
          <w:szCs w:val="28"/>
          <w:lang w:val="en-US" w:eastAsia="zh-CN"/>
        </w:rPr>
      </w:pPr>
      <w:bookmarkStart w:id="38" w:name="_Toc3439"/>
      <w:bookmarkStart w:id="39" w:name="_Toc15726"/>
      <w:bookmarkStart w:id="40" w:name="_Toc10746"/>
      <w:bookmarkStart w:id="41" w:name="_Toc6734"/>
      <w:bookmarkStart w:id="42" w:name="_Toc27572"/>
      <w:r>
        <w:rPr>
          <w:rFonts w:hint="default" w:ascii="Times New Roman" w:hAnsi="Times New Roman" w:cs="Times New Roman"/>
          <w:color w:val="auto"/>
          <w:sz w:val="28"/>
          <w:szCs w:val="28"/>
        </w:rPr>
        <w:t>建设项目污染物排放量汇总表</w:t>
      </w:r>
      <w:bookmarkEnd w:id="38"/>
      <w:bookmarkEnd w:id="39"/>
      <w:bookmarkEnd w:id="40"/>
      <w:bookmarkEnd w:id="41"/>
      <w:bookmarkEnd w:id="42"/>
    </w:p>
    <w:p>
      <w:pPr>
        <w:bidi w:val="0"/>
        <w:jc w:val="righ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单位: t/a</w:t>
      </w:r>
    </w:p>
    <w:tbl>
      <w:tblPr>
        <w:tblStyle w:val="30"/>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1573"/>
        <w:gridCol w:w="1701"/>
        <w:gridCol w:w="1276"/>
        <w:gridCol w:w="1701"/>
        <w:gridCol w:w="1559"/>
        <w:gridCol w:w="1761"/>
        <w:gridCol w:w="1766"/>
        <w:gridCol w:w="101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tcBorders>
              <w:tl2br w:val="single" w:color="auto" w:sz="4" w:space="0"/>
            </w:tcBorders>
            <w:noWrap w:val="0"/>
            <w:tcMar>
              <w:left w:w="28" w:type="dxa"/>
              <w:right w:w="28" w:type="dxa"/>
            </w:tcMar>
            <w:vAlign w:val="center"/>
          </w:tcPr>
          <w:p>
            <w:pPr>
              <w:pStyle w:val="57"/>
              <w:spacing w:beforeLines="0" w:afterLines="0" w:line="240" w:lineRule="auto"/>
              <w:jc w:val="right"/>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项目</w:t>
            </w:r>
          </w:p>
          <w:p>
            <w:pPr>
              <w:pStyle w:val="57"/>
              <w:spacing w:beforeLines="0" w:afterLines="0" w:line="240" w:lineRule="auto"/>
              <w:jc w:val="left"/>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分类</w:t>
            </w:r>
          </w:p>
        </w:tc>
        <w:tc>
          <w:tcPr>
            <w:tcW w:w="1573"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污染物名称</w:t>
            </w:r>
          </w:p>
        </w:tc>
        <w:tc>
          <w:tcPr>
            <w:tcW w:w="1701"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现有工程</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排放量（固体废物产生量）</w:t>
            </w: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1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color w:val="auto"/>
                <w:kern w:val="2"/>
                <w:szCs w:val="21"/>
              </w:rPr>
              <w:t>①</w:t>
            </w:r>
            <w:r>
              <w:rPr>
                <w:rFonts w:hint="default" w:ascii="Times New Roman" w:hAnsi="Times New Roman" w:eastAsia="黑体" w:cs="Times New Roman"/>
                <w:snapToGrid w:val="0"/>
                <w:color w:val="auto"/>
                <w:spacing w:val="-6"/>
                <w:kern w:val="21"/>
                <w:szCs w:val="21"/>
              </w:rPr>
              <w:fldChar w:fldCharType="end"/>
            </w:r>
          </w:p>
        </w:tc>
        <w:tc>
          <w:tcPr>
            <w:tcW w:w="1276"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现有工程</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许可排放量</w:t>
            </w:r>
          </w:p>
          <w:p>
            <w:pPr>
              <w:pStyle w:val="57"/>
              <w:spacing w:beforeLines="0" w:afterLines="0"/>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2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snapToGrid w:val="0"/>
                <w:color w:val="auto"/>
                <w:spacing w:val="-6"/>
                <w:kern w:val="21"/>
                <w:szCs w:val="21"/>
              </w:rPr>
              <w:t>②</w:t>
            </w:r>
            <w:r>
              <w:rPr>
                <w:rFonts w:hint="default" w:ascii="Times New Roman" w:hAnsi="Times New Roman" w:eastAsia="黑体" w:cs="Times New Roman"/>
                <w:snapToGrid w:val="0"/>
                <w:color w:val="auto"/>
                <w:spacing w:val="-6"/>
                <w:kern w:val="21"/>
                <w:szCs w:val="21"/>
              </w:rPr>
              <w:fldChar w:fldCharType="end"/>
            </w:r>
          </w:p>
        </w:tc>
        <w:tc>
          <w:tcPr>
            <w:tcW w:w="1701"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在建工程</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排放量（固体废物产生量）</w:t>
            </w: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3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color w:val="auto"/>
                <w:kern w:val="2"/>
                <w:szCs w:val="21"/>
              </w:rPr>
              <w:t>③</w:t>
            </w:r>
            <w:r>
              <w:rPr>
                <w:rFonts w:hint="default" w:ascii="Times New Roman" w:hAnsi="Times New Roman" w:eastAsia="黑体" w:cs="Times New Roman"/>
                <w:snapToGrid w:val="0"/>
                <w:color w:val="auto"/>
                <w:spacing w:val="-6"/>
                <w:kern w:val="21"/>
                <w:szCs w:val="21"/>
              </w:rPr>
              <w:fldChar w:fldCharType="end"/>
            </w:r>
          </w:p>
        </w:tc>
        <w:tc>
          <w:tcPr>
            <w:tcW w:w="1559"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本项目</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排放量（固体废物产生量）</w:t>
            </w: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4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color w:val="auto"/>
                <w:kern w:val="2"/>
                <w:szCs w:val="21"/>
              </w:rPr>
              <w:t>④</w:t>
            </w:r>
            <w:r>
              <w:rPr>
                <w:rFonts w:hint="default" w:ascii="Times New Roman" w:hAnsi="Times New Roman" w:eastAsia="黑体" w:cs="Times New Roman"/>
                <w:snapToGrid w:val="0"/>
                <w:color w:val="auto"/>
                <w:spacing w:val="-6"/>
                <w:kern w:val="21"/>
                <w:szCs w:val="21"/>
              </w:rPr>
              <w:fldChar w:fldCharType="end"/>
            </w:r>
          </w:p>
        </w:tc>
        <w:tc>
          <w:tcPr>
            <w:tcW w:w="1761"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以新带老削减量</w:t>
            </w:r>
          </w:p>
          <w:p>
            <w:pPr>
              <w:pStyle w:val="57"/>
              <w:spacing w:beforeLines="0" w:afterLines="0" w:line="240" w:lineRule="auto"/>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（新建项目不填）</w:t>
            </w:r>
            <w:r>
              <w:rPr>
                <w:rFonts w:hint="default" w:ascii="Times New Roman" w:hAnsi="Times New Roman" w:eastAsia="黑体" w:cs="Times New Roman"/>
                <w:snapToGrid w:val="0"/>
                <w:color w:val="auto"/>
                <w:spacing w:val="-16"/>
                <w:kern w:val="21"/>
                <w:szCs w:val="21"/>
              </w:rPr>
              <w:fldChar w:fldCharType="begin"/>
            </w:r>
            <w:r>
              <w:rPr>
                <w:rFonts w:hint="default" w:ascii="Times New Roman" w:hAnsi="Times New Roman" w:eastAsia="黑体" w:cs="Times New Roman"/>
                <w:snapToGrid w:val="0"/>
                <w:color w:val="auto"/>
                <w:spacing w:val="-16"/>
                <w:kern w:val="21"/>
                <w:szCs w:val="21"/>
              </w:rPr>
              <w:instrText xml:space="preserve"> = 5 \* GB3 \* MERGEFORMAT </w:instrText>
            </w:r>
            <w:r>
              <w:rPr>
                <w:rFonts w:hint="default" w:ascii="Times New Roman" w:hAnsi="Times New Roman" w:eastAsia="黑体" w:cs="Times New Roman"/>
                <w:snapToGrid w:val="0"/>
                <w:color w:val="auto"/>
                <w:spacing w:val="-16"/>
                <w:kern w:val="21"/>
                <w:szCs w:val="21"/>
              </w:rPr>
              <w:fldChar w:fldCharType="separate"/>
            </w:r>
            <w:r>
              <w:rPr>
                <w:rFonts w:hint="default" w:ascii="Times New Roman" w:hAnsi="Times New Roman" w:eastAsia="黑体" w:cs="Times New Roman"/>
                <w:color w:val="auto"/>
                <w:kern w:val="2"/>
                <w:szCs w:val="21"/>
              </w:rPr>
              <w:t>⑤</w:t>
            </w:r>
            <w:r>
              <w:rPr>
                <w:rFonts w:hint="default" w:ascii="Times New Roman" w:hAnsi="Times New Roman" w:eastAsia="黑体" w:cs="Times New Roman"/>
                <w:snapToGrid w:val="0"/>
                <w:color w:val="auto"/>
                <w:spacing w:val="-16"/>
                <w:kern w:val="21"/>
                <w:szCs w:val="21"/>
              </w:rPr>
              <w:fldChar w:fldCharType="end"/>
            </w:r>
          </w:p>
        </w:tc>
        <w:tc>
          <w:tcPr>
            <w:tcW w:w="1766"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本项目建成后</w:t>
            </w:r>
          </w:p>
          <w:p>
            <w:pPr>
              <w:pStyle w:val="57"/>
              <w:spacing w:beforeLines="0" w:afterLines="0" w:line="240" w:lineRule="auto"/>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全厂排放量（固体废物产生量）</w:t>
            </w:r>
            <w:r>
              <w:rPr>
                <w:rFonts w:hint="default" w:ascii="Times New Roman" w:hAnsi="Times New Roman" w:eastAsia="黑体" w:cs="Times New Roman"/>
                <w:snapToGrid w:val="0"/>
                <w:color w:val="auto"/>
                <w:spacing w:val="-16"/>
                <w:kern w:val="21"/>
                <w:szCs w:val="21"/>
              </w:rPr>
              <w:fldChar w:fldCharType="begin"/>
            </w:r>
            <w:r>
              <w:rPr>
                <w:rFonts w:hint="default" w:ascii="Times New Roman" w:hAnsi="Times New Roman" w:eastAsia="黑体" w:cs="Times New Roman"/>
                <w:snapToGrid w:val="0"/>
                <w:color w:val="auto"/>
                <w:spacing w:val="-16"/>
                <w:kern w:val="21"/>
                <w:szCs w:val="21"/>
              </w:rPr>
              <w:instrText xml:space="preserve"> = 6 \* GB3 \* MERGEFORMAT </w:instrText>
            </w:r>
            <w:r>
              <w:rPr>
                <w:rFonts w:hint="default" w:ascii="Times New Roman" w:hAnsi="Times New Roman" w:eastAsia="黑体" w:cs="Times New Roman"/>
                <w:snapToGrid w:val="0"/>
                <w:color w:val="auto"/>
                <w:spacing w:val="-16"/>
                <w:kern w:val="21"/>
                <w:szCs w:val="21"/>
              </w:rPr>
              <w:fldChar w:fldCharType="separate"/>
            </w:r>
            <w:r>
              <w:rPr>
                <w:rFonts w:hint="default" w:ascii="Times New Roman" w:hAnsi="Times New Roman" w:eastAsia="黑体" w:cs="Times New Roman"/>
                <w:color w:val="auto"/>
                <w:kern w:val="2"/>
                <w:szCs w:val="21"/>
              </w:rPr>
              <w:t>⑥</w:t>
            </w:r>
            <w:r>
              <w:rPr>
                <w:rFonts w:hint="default" w:ascii="Times New Roman" w:hAnsi="Times New Roman" w:eastAsia="黑体" w:cs="Times New Roman"/>
                <w:snapToGrid w:val="0"/>
                <w:color w:val="auto"/>
                <w:spacing w:val="-16"/>
                <w:kern w:val="21"/>
                <w:szCs w:val="21"/>
              </w:rPr>
              <w:fldChar w:fldCharType="end"/>
            </w:r>
          </w:p>
        </w:tc>
        <w:tc>
          <w:tcPr>
            <w:tcW w:w="1019"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变化量</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7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color w:val="auto"/>
                <w:kern w:val="2"/>
                <w:szCs w:val="21"/>
              </w:rPr>
              <w:t>⑦</w:t>
            </w:r>
            <w:r>
              <w:rPr>
                <w:rFonts w:hint="default" w:ascii="Times New Roman" w:hAnsi="Times New Roman" w:eastAsia="黑体" w:cs="Times New Roman"/>
                <w:snapToGrid w:val="0"/>
                <w:color w:val="auto"/>
                <w:spacing w:val="-6"/>
                <w:kern w:val="21"/>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废气</w:t>
            </w:r>
          </w:p>
        </w:tc>
        <w:tc>
          <w:tcPr>
            <w:tcW w:w="1573"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颗粒物</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1559" w:type="dxa"/>
            <w:noWrap w:val="0"/>
            <w:vAlign w:val="center"/>
          </w:tcPr>
          <w:p>
            <w:pPr>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1.471</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1.471</w:t>
            </w:r>
          </w:p>
        </w:tc>
        <w:tc>
          <w:tcPr>
            <w:tcW w:w="1019" w:type="dxa"/>
            <w:noWrap w:val="0"/>
            <w:vAlign w:val="center"/>
          </w:tcPr>
          <w:p>
            <w:pPr>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1.471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二氧化硫</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color w:val="auto"/>
                <w:sz w:val="21"/>
                <w:szCs w:val="21"/>
                <w:highlight w:val="none"/>
                <w:lang w:val="en-US" w:eastAsia="zh-CN"/>
              </w:rPr>
              <w:t>0.630</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color w:val="auto"/>
                <w:sz w:val="21"/>
                <w:szCs w:val="21"/>
                <w:highlight w:val="none"/>
                <w:lang w:val="en-US" w:eastAsia="zh-CN"/>
              </w:rPr>
              <w:t>0.630</w:t>
            </w:r>
          </w:p>
        </w:tc>
        <w:tc>
          <w:tcPr>
            <w:tcW w:w="1019"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color w:val="auto"/>
                <w:sz w:val="21"/>
                <w:szCs w:val="21"/>
                <w:highlight w:val="none"/>
                <w:lang w:val="en-US" w:eastAsia="zh-CN"/>
              </w:rPr>
              <w:t>0.630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氮氧化物</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0.938</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b w:val="0"/>
                <w:bCs w:val="0"/>
                <w:i w:val="0"/>
                <w:iCs w:val="0"/>
                <w:color w:val="auto"/>
                <w:spacing w:val="0"/>
                <w:kern w:val="0"/>
                <w:sz w:val="21"/>
                <w:szCs w:val="21"/>
                <w:highlight w:val="none"/>
                <w:lang w:val="en-US" w:eastAsia="zh-CN"/>
              </w:rPr>
              <w:t>0.938</w:t>
            </w:r>
          </w:p>
        </w:tc>
        <w:tc>
          <w:tcPr>
            <w:tcW w:w="1019"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b w:val="0"/>
                <w:bCs w:val="0"/>
                <w:i w:val="0"/>
                <w:iCs w:val="0"/>
                <w:color w:val="auto"/>
                <w:spacing w:val="0"/>
                <w:kern w:val="0"/>
                <w:sz w:val="21"/>
                <w:szCs w:val="21"/>
                <w:highlight w:val="none"/>
                <w:lang w:val="en-US" w:eastAsia="zh-CN"/>
              </w:rPr>
              <w:t>0.938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一般工业</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固体废物</w:t>
            </w: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粉尘</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2.7</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b w:val="0"/>
                <w:bCs w:val="0"/>
                <w:i w:val="0"/>
                <w:iCs w:val="0"/>
                <w:color w:val="auto"/>
                <w:spacing w:val="0"/>
                <w:kern w:val="0"/>
                <w:sz w:val="21"/>
                <w:szCs w:val="21"/>
                <w:highlight w:val="none"/>
                <w:lang w:val="en-US" w:eastAsia="zh-CN"/>
              </w:rPr>
              <w:t>2.7</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b w:val="0"/>
                <w:bCs w:val="0"/>
                <w:i w:val="0"/>
                <w:iCs w:val="0"/>
                <w:color w:val="auto"/>
                <w:spacing w:val="0"/>
                <w:kern w:val="0"/>
                <w:sz w:val="21"/>
                <w:szCs w:val="21"/>
                <w:highlight w:val="none"/>
                <w:lang w:val="en-US" w:eastAsia="zh-CN"/>
              </w:rPr>
              <w:t>2.7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沙泥</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r>
              <w:rPr>
                <w:rFonts w:hint="eastAsia" w:cs="Times New Roman"/>
                <w:color w:val="auto"/>
                <w:kern w:val="2"/>
                <w:sz w:val="21"/>
                <w:szCs w:val="21"/>
                <w:highlight w:val="none"/>
                <w:lang w:val="en-US" w:eastAsia="zh-CN" w:bidi="ar-SA"/>
              </w:rPr>
              <w:t>.5</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r>
              <w:rPr>
                <w:rFonts w:hint="eastAsia" w:cs="Times New Roman"/>
                <w:color w:val="auto"/>
                <w:kern w:val="2"/>
                <w:sz w:val="21"/>
                <w:szCs w:val="21"/>
                <w:highlight w:val="none"/>
                <w:lang w:val="en-US" w:eastAsia="zh-CN" w:bidi="ar-SA"/>
              </w:rPr>
              <w:t>.5</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r>
              <w:rPr>
                <w:rFonts w:hint="eastAsia" w:cs="Times New Roman"/>
                <w:color w:val="auto"/>
                <w:kern w:val="2"/>
                <w:sz w:val="21"/>
                <w:szCs w:val="21"/>
                <w:highlight w:val="none"/>
                <w:lang w:val="en-US" w:eastAsia="zh-CN" w:bidi="ar-SA"/>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灰渣</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256.25</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color w:val="auto"/>
                <w:kern w:val="2"/>
                <w:sz w:val="21"/>
                <w:szCs w:val="21"/>
                <w:highlight w:val="none"/>
                <w:lang w:val="en-US" w:eastAsia="zh-CN" w:bidi="ar-SA"/>
              </w:rPr>
              <w:t>256.25</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color w:val="auto"/>
                <w:kern w:val="2"/>
                <w:sz w:val="21"/>
                <w:szCs w:val="21"/>
                <w:highlight w:val="none"/>
                <w:lang w:val="en-US" w:eastAsia="zh-CN" w:bidi="ar-SA"/>
              </w:rPr>
              <w:t>256.25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废布袋</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0.02</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0.02</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0.02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w:t>
            </w: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生活垃圾</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0.15</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0.15</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0.15</w:t>
            </w:r>
          </w:p>
        </w:tc>
      </w:tr>
    </w:tbl>
    <w:p>
      <w:pPr>
        <w:pStyle w:val="57"/>
        <w:spacing w:before="192" w:beforeLines="80" w:after="24"/>
        <w:jc w:val="left"/>
        <w:rPr>
          <w:rFonts w:hint="default" w:ascii="Times New Roman" w:hAnsi="Times New Roman" w:cs="Times New Roman"/>
          <w:snapToGrid w:val="0"/>
          <w:color w:val="auto"/>
          <w:spacing w:val="-6"/>
          <w:kern w:val="21"/>
          <w:szCs w:val="21"/>
        </w:rPr>
      </w:pPr>
      <w:r>
        <w:rPr>
          <w:rFonts w:hint="default" w:ascii="Times New Roman" w:hAnsi="Times New Roman" w:cs="Times New Roman"/>
          <w:snapToGrid w:val="0"/>
          <w:color w:val="auto"/>
          <w:kern w:val="21"/>
          <w:szCs w:val="21"/>
        </w:rPr>
        <w:t>注：</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6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⑥</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1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①</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3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③</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4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④</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5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⑤</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7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⑦</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6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⑥</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1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①</w:t>
      </w:r>
      <w:r>
        <w:rPr>
          <w:rFonts w:hint="default" w:ascii="Times New Roman" w:hAnsi="Times New Roman" w:cs="Times New Roman"/>
          <w:snapToGrid w:val="0"/>
          <w:color w:val="auto"/>
          <w:spacing w:val="-6"/>
          <w:kern w:val="21"/>
          <w:szCs w:val="21"/>
        </w:rPr>
        <w:fldChar w:fldCharType="end"/>
      </w:r>
    </w:p>
    <w:p>
      <w:pPr>
        <w:rPr>
          <w:rFonts w:hint="default" w:ascii="Times New Roman" w:hAnsi="Times New Roman" w:eastAsia="黑体" w:cs="Times New Roman"/>
          <w:color w:val="auto"/>
        </w:rPr>
        <w:sectPr>
          <w:footerReference r:id="rId6"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default" w:ascii="Times New Roman" w:hAnsi="Times New Roman" w:cs="Times New Roman"/>
          <w:color w:val="auto"/>
        </w:rPr>
      </w:pP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default" w:ascii="Times New Roman" w:hAnsi="Times New Roman" w:cs="Times New Roman"/>
          <w:color w:val="auto"/>
        </w:rPr>
      </w:pPr>
      <w:r>
        <w:rPr>
          <w:rFonts w:hint="default" w:ascii="Times New Roman" w:hAnsi="Times New Roman" w:cs="Times New Roman"/>
          <w:color w:val="auto"/>
          <w:sz w:val="24"/>
        </w:rPr>
        <mc:AlternateContent>
          <mc:Choice Requires="wps">
            <w:drawing>
              <wp:anchor distT="0" distB="0" distL="114300" distR="114300" simplePos="0" relativeHeight="251661312" behindDoc="0" locked="0" layoutInCell="1" allowOverlap="1">
                <wp:simplePos x="0" y="0"/>
                <wp:positionH relativeFrom="column">
                  <wp:posOffset>6871335</wp:posOffset>
                </wp:positionH>
                <wp:positionV relativeFrom="paragraph">
                  <wp:posOffset>3629025</wp:posOffset>
                </wp:positionV>
                <wp:extent cx="995045" cy="398145"/>
                <wp:effectExtent l="375285" t="304800" r="20320" b="20955"/>
                <wp:wrapNone/>
                <wp:docPr id="7" name="自选图形 195"/>
                <wp:cNvGraphicFramePr/>
                <a:graphic xmlns:a="http://schemas.openxmlformats.org/drawingml/2006/main">
                  <a:graphicData uri="http://schemas.microsoft.com/office/word/2010/wordprocessingShape">
                    <wps:wsp>
                      <wps:cNvSpPr/>
                      <wps:spPr>
                        <a:xfrm>
                          <a:off x="0" y="0"/>
                          <a:ext cx="995045" cy="398145"/>
                        </a:xfrm>
                        <a:prstGeom prst="wedgeRectCallout">
                          <a:avLst>
                            <a:gd name="adj1" fmla="val -84141"/>
                            <a:gd name="adj2" fmla="val -122000"/>
                          </a:avLst>
                        </a:prstGeom>
                        <a:noFill/>
                        <a:ln w="6350" cap="flat" cmpd="sng">
                          <a:solidFill>
                            <a:srgbClr val="FF0000"/>
                          </a:solidFill>
                          <a:prstDash val="solid"/>
                          <a:miter/>
                          <a:headEnd type="none" w="med" len="med"/>
                          <a:tailEnd type="none" w="med" len="med"/>
                        </a:ln>
                      </wps:spPr>
                      <wps:txbx>
                        <w:txbxContent>
                          <w:p>
                            <w:pPr>
                              <w:rPr>
                                <w:rFonts w:hint="eastAsia" w:eastAsia="宋体"/>
                                <w:color w:val="FF0000"/>
                                <w:lang w:eastAsia="zh-CN"/>
                              </w:rPr>
                            </w:pPr>
                            <w:r>
                              <w:rPr>
                                <w:rFonts w:hint="eastAsia"/>
                                <w:color w:val="FF0000"/>
                                <w:lang w:eastAsia="zh-CN"/>
                              </w:rPr>
                              <w:t>项目所在地</w:t>
                            </w:r>
                          </w:p>
                        </w:txbxContent>
                      </wps:txbx>
                      <wps:bodyPr vert="horz" wrap="square" anchor="t" anchorCtr="0" upright="1"/>
                    </wps:wsp>
                  </a:graphicData>
                </a:graphic>
              </wp:anchor>
            </w:drawing>
          </mc:Choice>
          <mc:Fallback>
            <w:pict>
              <v:shape id="自选图形 195" o:spid="_x0000_s1026" o:spt="61" type="#_x0000_t61" style="position:absolute;left:0pt;margin-left:541.05pt;margin-top:285.75pt;height:31.35pt;width:78.35pt;z-index:251661312;mso-width-relative:page;mso-height-relative:page;" filled="f" stroked="t" coordsize="21600,21600" o:gfxdata="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w9LqfcAAAADQEAAA8AAAAAAAAAAQAgAAAAIgAA&#10;AGRycy9kb3ducmV2LnhtbFBLAQIUABQAAAAIAIdO4kCUmc3kPQIAAEwEAAAOAAAAAAAAAAEAIAAA&#10;ACsBAABkcnMvZTJvRG9jLnhtbFBLBQYAAAAABgAGAFkBAADaBQAAAAA=&#10;" adj="-7374,-15552">
                <v:fill on="f" focussize="0,0"/>
                <v:stroke weight="0.5pt" color="#FF0000" joinstyle="miter"/>
                <v:imagedata o:title=""/>
                <o:lock v:ext="edit" aspectratio="f"/>
                <v:textbox>
                  <w:txbxContent>
                    <w:p>
                      <w:pPr>
                        <w:rPr>
                          <w:rFonts w:hint="eastAsia" w:eastAsia="宋体"/>
                          <w:color w:val="FF0000"/>
                          <w:lang w:eastAsia="zh-CN"/>
                        </w:rPr>
                      </w:pPr>
                      <w:r>
                        <w:rPr>
                          <w:rFonts w:hint="eastAsia"/>
                          <w:color w:val="FF0000"/>
                          <w:lang w:eastAsia="zh-CN"/>
                        </w:rPr>
                        <w:t>项目所在地</w:t>
                      </w:r>
                    </w:p>
                  </w:txbxContent>
                </v:textbox>
              </v:shape>
            </w:pict>
          </mc:Fallback>
        </mc:AlternateContent>
      </w:r>
      <w:r>
        <w:rPr>
          <w:color w:val="auto"/>
        </w:rPr>
        <w:drawing>
          <wp:anchor distT="0" distB="0" distL="114300" distR="114300" simplePos="0" relativeHeight="251662336" behindDoc="0" locked="0" layoutInCell="1" allowOverlap="1">
            <wp:simplePos x="0" y="0"/>
            <wp:positionH relativeFrom="column">
              <wp:posOffset>7322820</wp:posOffset>
            </wp:positionH>
            <wp:positionV relativeFrom="paragraph">
              <wp:posOffset>19050</wp:posOffset>
            </wp:positionV>
            <wp:extent cx="855345" cy="829945"/>
            <wp:effectExtent l="0" t="0" r="1905" b="8255"/>
            <wp:wrapNone/>
            <wp:docPr id="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pic:cNvPicPr>
                  </pic:nvPicPr>
                  <pic:blipFill>
                    <a:blip r:embed="rId19"/>
                    <a:stretch>
                      <a:fillRect/>
                    </a:stretch>
                  </pic:blipFill>
                  <pic:spPr>
                    <a:xfrm>
                      <a:off x="0" y="0"/>
                      <a:ext cx="855345" cy="829945"/>
                    </a:xfrm>
                    <a:prstGeom prst="rect">
                      <a:avLst/>
                    </a:prstGeom>
                    <a:noFill/>
                    <a:ln>
                      <a:noFill/>
                    </a:ln>
                  </pic:spPr>
                </pic:pic>
              </a:graphicData>
            </a:graphic>
          </wp:anchor>
        </w:drawing>
      </w:r>
      <w:r>
        <w:drawing>
          <wp:inline distT="0" distB="0" distL="114300" distR="114300">
            <wp:extent cx="6364605" cy="5746115"/>
            <wp:effectExtent l="0" t="0" r="17145" b="6985"/>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pic:cNvPicPr>
                      <a:picLocks noChangeAspect="1"/>
                    </pic:cNvPicPr>
                  </pic:nvPicPr>
                  <pic:blipFill>
                    <a:blip r:embed="rId41"/>
                    <a:stretch>
                      <a:fillRect/>
                    </a:stretch>
                  </pic:blipFill>
                  <pic:spPr>
                    <a:xfrm>
                      <a:off x="0" y="0"/>
                      <a:ext cx="6364605" cy="5746115"/>
                    </a:xfrm>
                    <a:prstGeom prst="rect">
                      <a:avLst/>
                    </a:prstGeom>
                    <a:noFill/>
                    <a:ln>
                      <a:noFill/>
                    </a:ln>
                  </pic:spPr>
                </pic:pic>
              </a:graphicData>
            </a:graphic>
          </wp:inline>
        </w:drawing>
      </w: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firstLine="640" w:firstLineChars="200"/>
        <w:jc w:val="center"/>
        <w:textAlignment w:val="auto"/>
        <w:outlineLvl w:val="0"/>
        <w:rPr>
          <w:rFonts w:hint="default" w:ascii="Times New Roman" w:hAnsi="Times New Roman" w:cs="Times New Roman"/>
          <w:color w:val="auto"/>
        </w:rPr>
      </w:pPr>
      <w:bookmarkStart w:id="43" w:name="_Toc23128"/>
      <w:bookmarkStart w:id="44" w:name="_Toc26382"/>
      <w:r>
        <w:rPr>
          <w:rFonts w:hint="default" w:ascii="Times New Roman" w:hAnsi="Times New Roman" w:eastAsia="黑体" w:cs="Times New Roman"/>
          <w:snapToGrid w:val="0"/>
          <w:color w:val="auto"/>
          <w:sz w:val="32"/>
          <w:szCs w:val="32"/>
        </w:rPr>
        <w:t>附</w:t>
      </w:r>
      <w:r>
        <w:rPr>
          <w:rFonts w:hint="default" w:ascii="Times New Roman" w:hAnsi="Times New Roman" w:eastAsia="黑体" w:cs="Times New Roman"/>
          <w:snapToGrid w:val="0"/>
          <w:color w:val="auto"/>
          <w:sz w:val="32"/>
          <w:szCs w:val="32"/>
          <w:lang w:eastAsia="zh-CN"/>
        </w:rPr>
        <w:t>图</w:t>
      </w:r>
      <w:r>
        <w:rPr>
          <w:rFonts w:hint="default" w:ascii="Times New Roman" w:hAnsi="Times New Roman" w:eastAsia="黑体" w:cs="Times New Roman"/>
          <w:snapToGrid w:val="0"/>
          <w:color w:val="auto"/>
          <w:sz w:val="32"/>
          <w:szCs w:val="32"/>
          <w:lang w:val="en-US" w:eastAsia="zh-CN"/>
        </w:rPr>
        <w:t>1 本项目地理位置图</w:t>
      </w:r>
      <w:bookmarkEnd w:id="43"/>
      <w:bookmarkEnd w:id="44"/>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default" w:ascii="Times New Roman" w:hAnsi="Times New Roman" w:cs="Times New Roman"/>
          <w:color w:val="auto"/>
          <w:lang w:val="en-US" w:eastAsia="zh-CN"/>
        </w:rPr>
        <w:sectPr>
          <w:footerReference r:id="rId7" w:type="default"/>
          <w:pgSz w:w="16838" w:h="11906" w:orient="landscape"/>
          <w:pgMar w:top="720" w:right="720" w:bottom="720" w:left="720"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Times New Roman" w:hAnsi="Times New Roman" w:eastAsia="宋体" w:cs="Times New Roman"/>
          <w:snapToGrid w:val="0"/>
          <w:color w:val="auto"/>
          <w:sz w:val="32"/>
          <w:szCs w:val="32"/>
          <w:lang w:eastAsia="zh-CN"/>
        </w:rPr>
      </w:pPr>
      <w:bookmarkStart w:id="45" w:name="_Toc23849"/>
      <w:r>
        <w:rPr>
          <w:color w:val="auto"/>
        </w:rPr>
        <w:drawing>
          <wp:anchor distT="0" distB="0" distL="114300" distR="114300" simplePos="0" relativeHeight="251663360" behindDoc="0" locked="0" layoutInCell="1" allowOverlap="1">
            <wp:simplePos x="0" y="0"/>
            <wp:positionH relativeFrom="column">
              <wp:posOffset>53340</wp:posOffset>
            </wp:positionH>
            <wp:positionV relativeFrom="paragraph">
              <wp:posOffset>57150</wp:posOffset>
            </wp:positionV>
            <wp:extent cx="855345" cy="829945"/>
            <wp:effectExtent l="0" t="0" r="1905" b="8255"/>
            <wp:wrapNone/>
            <wp:docPr id="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
                    <pic:cNvPicPr>
                      <a:picLocks noChangeAspect="1"/>
                    </pic:cNvPicPr>
                  </pic:nvPicPr>
                  <pic:blipFill>
                    <a:blip r:embed="rId19"/>
                    <a:stretch>
                      <a:fillRect/>
                    </a:stretch>
                  </pic:blipFill>
                  <pic:spPr>
                    <a:xfrm>
                      <a:off x="0" y="0"/>
                      <a:ext cx="855345" cy="829945"/>
                    </a:xfrm>
                    <a:prstGeom prst="rect">
                      <a:avLst/>
                    </a:prstGeom>
                    <a:noFill/>
                    <a:ln>
                      <a:noFill/>
                    </a:ln>
                  </pic:spPr>
                </pic:pic>
              </a:graphicData>
            </a:graphic>
          </wp:anchor>
        </w:drawing>
      </w:r>
      <w:r>
        <w:drawing>
          <wp:inline distT="0" distB="0" distL="114300" distR="114300">
            <wp:extent cx="6185535" cy="5353685"/>
            <wp:effectExtent l="0" t="0" r="5715" b="18415"/>
            <wp:docPr id="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3"/>
                    <pic:cNvPicPr>
                      <a:picLocks noChangeAspect="1"/>
                    </pic:cNvPicPr>
                  </pic:nvPicPr>
                  <pic:blipFill>
                    <a:blip r:embed="rId42"/>
                    <a:stretch>
                      <a:fillRect/>
                    </a:stretch>
                  </pic:blipFill>
                  <pic:spPr>
                    <a:xfrm>
                      <a:off x="0" y="0"/>
                      <a:ext cx="6185535" cy="5353685"/>
                    </a:xfrm>
                    <a:prstGeom prst="rect">
                      <a:avLst/>
                    </a:prstGeom>
                    <a:noFill/>
                    <a:ln>
                      <a:noFill/>
                    </a:ln>
                  </pic:spPr>
                </pic:pic>
              </a:graphicData>
            </a:graphic>
          </wp:inline>
        </w:drawing>
      </w: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default" w:ascii="Times New Roman" w:hAnsi="Times New Roman" w:eastAsia="黑体" w:cs="Times New Roman"/>
          <w:snapToGrid w:val="0"/>
          <w:color w:val="auto"/>
          <w:sz w:val="32"/>
          <w:szCs w:val="32"/>
          <w:lang w:val="en-US" w:eastAsia="zh-CN"/>
        </w:rPr>
        <w:sectPr>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bookmarkStart w:id="46" w:name="_Toc6874"/>
      <w:r>
        <w:rPr>
          <w:rFonts w:hint="default" w:ascii="Times New Roman" w:hAnsi="Times New Roman" w:eastAsia="黑体" w:cs="Times New Roman"/>
          <w:snapToGrid w:val="0"/>
          <w:color w:val="auto"/>
          <w:sz w:val="32"/>
          <w:szCs w:val="32"/>
        </w:rPr>
        <w:t>附</w:t>
      </w:r>
      <w:r>
        <w:rPr>
          <w:rFonts w:hint="default" w:ascii="Times New Roman" w:hAnsi="Times New Roman" w:eastAsia="黑体" w:cs="Times New Roman"/>
          <w:snapToGrid w:val="0"/>
          <w:color w:val="auto"/>
          <w:sz w:val="32"/>
          <w:szCs w:val="32"/>
          <w:highlight w:val="none"/>
          <w:lang w:eastAsia="zh-CN"/>
        </w:rPr>
        <w:t>图</w:t>
      </w:r>
      <w:r>
        <w:rPr>
          <w:rFonts w:hint="default" w:ascii="Times New Roman" w:hAnsi="Times New Roman" w:eastAsia="黑体" w:cs="Times New Roman"/>
          <w:snapToGrid w:val="0"/>
          <w:color w:val="auto"/>
          <w:sz w:val="32"/>
          <w:szCs w:val="32"/>
          <w:highlight w:val="none"/>
          <w:lang w:val="en-US" w:eastAsia="zh-CN"/>
        </w:rPr>
        <w:t>2 厂区总平面布置图</w:t>
      </w:r>
      <w:bookmarkEnd w:id="45"/>
      <w:bookmarkEnd w:id="46"/>
    </w:p>
    <w:p>
      <w:pPr>
        <w:pStyle w:val="3"/>
        <w:bidi w:val="0"/>
        <w:rPr>
          <w:rFonts w:hint="default" w:ascii="Times New Roman" w:hAnsi="Times New Roman" w:cs="Times New Roman"/>
          <w:color w:val="auto"/>
          <w:lang w:val="en-US" w:eastAsia="zh-CN"/>
        </w:rPr>
      </w:pPr>
      <w:bookmarkStart w:id="47" w:name="_Toc15650"/>
      <w:bookmarkStart w:id="48" w:name="_Toc26831"/>
      <w:r>
        <w:rPr>
          <w:rFonts w:hint="default" w:ascii="Times New Roman" w:hAnsi="Times New Roman" w:cs="Times New Roman"/>
          <w:color w:val="auto"/>
          <w:lang w:val="en-US" w:eastAsia="zh-CN"/>
        </w:rPr>
        <w:t>附件1 营业执照</w:t>
      </w:r>
      <w:bookmarkEnd w:id="47"/>
      <w:bookmarkEnd w:id="48"/>
    </w:p>
    <w:p>
      <w:pPr>
        <w:bidi w:val="0"/>
        <w:jc w:val="center"/>
        <w:rPr>
          <w:rFonts w:hint="default" w:ascii="Times New Roman" w:hAnsi="Times New Roman" w:cs="Times New Roman"/>
          <w:color w:val="auto"/>
          <w:lang w:val="en-US" w:eastAsia="zh-CN"/>
        </w:rPr>
      </w:pPr>
    </w:p>
    <w:p>
      <w:pPr>
        <w:pStyle w:val="36"/>
        <w:jc w:val="center"/>
        <w:rPr>
          <w:rFonts w:hint="default" w:ascii="Times New Roman" w:hAnsi="Times New Roman" w:cs="Times New Roman"/>
          <w:color w:val="auto"/>
          <w:lang w:eastAsia="zh-CN"/>
        </w:rPr>
      </w:pPr>
    </w:p>
    <w:p>
      <w:pPr>
        <w:rPr>
          <w:rFonts w:hint="default" w:ascii="Times New Roman" w:hAnsi="Times New Roman" w:cs="Times New Roman"/>
          <w:color w:val="auto"/>
          <w:lang w:eastAsia="zh-CN"/>
        </w:rPr>
        <w:sectPr>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7"/>
        <w:ind w:left="0" w:leftChars="0" w:firstLine="0" w:firstLineChars="0"/>
        <w:outlineLvl w:val="0"/>
        <w:rPr>
          <w:rFonts w:hint="default" w:ascii="Times New Roman" w:hAnsi="Times New Roman" w:eastAsia="黑体" w:cs="Times New Roman"/>
          <w:b/>
          <w:bCs/>
          <w:color w:val="auto"/>
          <w:kern w:val="44"/>
          <w:sz w:val="30"/>
          <w:szCs w:val="30"/>
          <w:lang w:val="en-US" w:eastAsia="zh-CN" w:bidi="ar-SA"/>
        </w:rPr>
      </w:pPr>
      <w:bookmarkStart w:id="49" w:name="_Toc918"/>
      <w:r>
        <w:rPr>
          <w:rFonts w:hint="default" w:ascii="Times New Roman" w:hAnsi="Times New Roman" w:eastAsia="黑体" w:cs="Times New Roman"/>
          <w:b/>
          <w:bCs/>
          <w:color w:val="auto"/>
          <w:kern w:val="44"/>
          <w:sz w:val="30"/>
          <w:szCs w:val="30"/>
          <w:lang w:val="en-US" w:eastAsia="zh-CN" w:bidi="ar-SA"/>
        </w:rPr>
        <w:t xml:space="preserve">附件2 </w:t>
      </w:r>
      <w:r>
        <w:rPr>
          <w:rFonts w:hint="eastAsia" w:eastAsia="黑体" w:cs="Times New Roman"/>
          <w:b/>
          <w:bCs/>
          <w:color w:val="auto"/>
          <w:kern w:val="44"/>
          <w:sz w:val="30"/>
          <w:szCs w:val="30"/>
          <w:lang w:val="en-US" w:eastAsia="zh-CN" w:bidi="ar-SA"/>
        </w:rPr>
        <w:t>土地相关文件</w:t>
      </w:r>
      <w:bookmarkEnd w:id="49"/>
    </w:p>
    <w:p>
      <w:pPr>
        <w:rPr>
          <w:rFonts w:hint="default" w:ascii="Times New Roman" w:hAnsi="Times New Roman" w:cs="Times New Roman"/>
          <w:color w:val="auto"/>
          <w:lang w:val="en-US" w:eastAsia="zh-CN"/>
        </w:rPr>
      </w:pPr>
    </w:p>
    <w:p>
      <w:pPr>
        <w:rPr>
          <w:rFonts w:hint="default" w:ascii="Times New Roman" w:hAnsi="Times New Roman" w:cs="Times New Roman"/>
          <w:color w:val="auto"/>
          <w:lang w:eastAsia="zh-CN"/>
        </w:rPr>
      </w:pPr>
    </w:p>
    <w:p>
      <w:pPr>
        <w:pStyle w:val="27"/>
        <w:jc w:val="center"/>
        <w:rPr>
          <w:rFonts w:hint="default" w:ascii="Times New Roman" w:hAnsi="Times New Roman" w:cs="Times New Roman"/>
          <w:color w:val="auto"/>
          <w:lang w:eastAsia="zh-CN"/>
        </w:rPr>
        <w:sectPr>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3"/>
        <w:bidi w:val="0"/>
        <w:rPr>
          <w:rFonts w:hint="default" w:ascii="Times New Roman" w:hAnsi="Times New Roman" w:cs="Times New Roman"/>
          <w:color w:val="auto"/>
          <w:lang w:val="en-US" w:eastAsia="zh-CN"/>
        </w:rPr>
      </w:pPr>
      <w:bookmarkStart w:id="50" w:name="_Toc9031"/>
      <w:bookmarkStart w:id="51" w:name="_Toc9020"/>
      <w:r>
        <w:rPr>
          <w:rFonts w:hint="default" w:ascii="Times New Roman" w:hAnsi="Times New Roman" w:cs="Times New Roman"/>
          <w:color w:val="auto"/>
          <w:lang w:val="en-US" w:eastAsia="zh-CN"/>
        </w:rPr>
        <w:t>附件3 燃料分析</w:t>
      </w:r>
      <w:bookmarkEnd w:id="50"/>
      <w:bookmarkEnd w:id="51"/>
    </w:p>
    <w:p>
      <w:pPr>
        <w:bidi w:val="0"/>
        <w:jc w:val="center"/>
        <w:rPr>
          <w:rFonts w:hint="default" w:ascii="Times New Roman" w:hAnsi="Times New Roman" w:eastAsia="黑体" w:cs="Times New Roman"/>
          <w:snapToGrid w:val="0"/>
          <w:color w:val="auto"/>
          <w:sz w:val="32"/>
          <w:szCs w:val="32"/>
          <w:lang w:val="en-US" w:eastAsia="zh-CN"/>
        </w:rPr>
        <w:sectPr>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3"/>
        <w:bidi w:val="0"/>
        <w:rPr>
          <w:rFonts w:hint="default" w:ascii="Times New Roman" w:hAnsi="Times New Roman" w:cs="Times New Roman"/>
          <w:color w:val="auto"/>
          <w:lang w:val="en-US" w:eastAsia="zh-CN"/>
        </w:rPr>
      </w:pPr>
      <w:bookmarkStart w:id="52" w:name="_Toc23724"/>
      <w:bookmarkStart w:id="53" w:name="_Toc14983"/>
      <w:r>
        <w:rPr>
          <w:rFonts w:hint="default" w:ascii="Times New Roman" w:hAnsi="Times New Roman" w:cs="Times New Roman"/>
          <w:color w:val="auto"/>
          <w:lang w:val="en-US" w:eastAsia="zh-CN"/>
        </w:rPr>
        <w:t>附件4 监测报告</w:t>
      </w:r>
      <w:bookmarkEnd w:id="52"/>
      <w:bookmarkEnd w:id="53"/>
    </w:p>
    <w:p>
      <w:pPr>
        <w:rPr>
          <w:rFonts w:hint="default"/>
          <w:color w:val="auto"/>
          <w:lang w:val="en-US" w:eastAsia="zh-CN"/>
        </w:rPr>
      </w:pPr>
    </w:p>
    <w:p>
      <w:pPr>
        <w:pStyle w:val="36"/>
        <w:rPr>
          <w:rFonts w:hint="default" w:ascii="Times New Roman" w:hAnsi="Times New Roman" w:cs="Times New Roman"/>
          <w:color w:val="auto"/>
          <w:lang w:val="en-US" w:eastAsia="zh-CN"/>
        </w:rPr>
        <w:sectPr>
          <w:pgSz w:w="11906" w:h="16838"/>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bookmarkStart w:id="55" w:name="_GoBack"/>
      <w:bookmarkEnd w:id="55"/>
    </w:p>
    <w:p>
      <w:pPr>
        <w:pStyle w:val="3"/>
        <w:bidi w:val="0"/>
        <w:rPr>
          <w:rFonts w:hint="eastAsia" w:ascii="Times New Roman" w:hAnsi="Times New Roman" w:cs="Times New Roman"/>
          <w:color w:val="auto"/>
          <w:highlight w:val="none"/>
          <w:lang w:val="en-US" w:eastAsia="zh-CN"/>
        </w:rPr>
      </w:pPr>
      <w:bookmarkStart w:id="54" w:name="_Toc2135"/>
      <w:r>
        <w:rPr>
          <w:rFonts w:hint="default" w:ascii="Times New Roman" w:hAnsi="Times New Roman" w:cs="Times New Roman"/>
          <w:color w:val="auto"/>
          <w:lang w:val="en-US" w:eastAsia="zh-CN"/>
        </w:rPr>
        <w:t>附件</w:t>
      </w:r>
      <w:r>
        <w:rPr>
          <w:rFonts w:hint="eastAsia" w:cs="Times New Roman"/>
          <w:color w:val="auto"/>
          <w:highlight w:val="none"/>
          <w:lang w:val="en-US" w:eastAsia="zh-CN"/>
        </w:rPr>
        <w:t>5</w:t>
      </w:r>
      <w:r>
        <w:rPr>
          <w:rFonts w:hint="default" w:ascii="Times New Roman" w:hAnsi="Times New Roman" w:cs="Times New Roman"/>
          <w:color w:val="auto"/>
          <w:highlight w:val="none"/>
          <w:lang w:val="en-US" w:eastAsia="zh-CN"/>
        </w:rPr>
        <w:t xml:space="preserve"> </w:t>
      </w:r>
      <w:r>
        <w:rPr>
          <w:rFonts w:hint="eastAsia" w:ascii="Times New Roman" w:hAnsi="Times New Roman" w:cs="Times New Roman"/>
          <w:color w:val="auto"/>
          <w:highlight w:val="none"/>
          <w:lang w:val="en-US" w:eastAsia="zh-CN"/>
        </w:rPr>
        <w:t>生态环境分区管控分析报告</w:t>
      </w:r>
      <w:bookmarkEnd w:id="54"/>
    </w:p>
    <w:p>
      <w:pPr>
        <w:rPr>
          <w:rFonts w:hint="default"/>
          <w:b/>
          <w:bCs/>
          <w:color w:val="auto"/>
          <w:lang w:val="en-US" w:eastAsia="zh-CN"/>
        </w:rPr>
      </w:pPr>
      <w:r>
        <w:drawing>
          <wp:inline distT="0" distB="0" distL="114300" distR="114300">
            <wp:extent cx="5272405" cy="3081655"/>
            <wp:effectExtent l="0" t="0" r="4445" b="4445"/>
            <wp:docPr id="2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0"/>
                    <pic:cNvPicPr>
                      <a:picLocks noChangeAspect="1"/>
                    </pic:cNvPicPr>
                  </pic:nvPicPr>
                  <pic:blipFill>
                    <a:blip r:embed="rId43"/>
                    <a:stretch>
                      <a:fillRect/>
                    </a:stretch>
                  </pic:blipFill>
                  <pic:spPr>
                    <a:xfrm>
                      <a:off x="0" y="0"/>
                      <a:ext cx="5272405" cy="3081655"/>
                    </a:xfrm>
                    <a:prstGeom prst="rect">
                      <a:avLst/>
                    </a:prstGeom>
                    <a:noFill/>
                    <a:ln>
                      <a:noFill/>
                    </a:ln>
                  </pic:spPr>
                </pic:pic>
              </a:graphicData>
            </a:graphic>
          </wp:inline>
        </w:drawing>
      </w:r>
      <w:r>
        <w:drawing>
          <wp:inline distT="0" distB="0" distL="114300" distR="114300">
            <wp:extent cx="5267960" cy="2626995"/>
            <wp:effectExtent l="0" t="0" r="8890" b="1905"/>
            <wp:docPr id="3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pic:cNvPicPr>
                      <a:picLocks noChangeAspect="1"/>
                    </pic:cNvPicPr>
                  </pic:nvPicPr>
                  <pic:blipFill>
                    <a:blip r:embed="rId44"/>
                    <a:stretch>
                      <a:fillRect/>
                    </a:stretch>
                  </pic:blipFill>
                  <pic:spPr>
                    <a:xfrm>
                      <a:off x="0" y="0"/>
                      <a:ext cx="5267960" cy="2626995"/>
                    </a:xfrm>
                    <a:prstGeom prst="rect">
                      <a:avLst/>
                    </a:prstGeom>
                    <a:noFill/>
                    <a:ln>
                      <a:noFill/>
                    </a:ln>
                  </pic:spPr>
                </pic:pic>
              </a:graphicData>
            </a:graphic>
          </wp:inline>
        </w:drawing>
      </w:r>
      <w:r>
        <w:drawing>
          <wp:inline distT="0" distB="0" distL="114300" distR="114300">
            <wp:extent cx="5267960" cy="3192145"/>
            <wp:effectExtent l="0" t="0" r="8890" b="8255"/>
            <wp:docPr id="3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2"/>
                    <pic:cNvPicPr>
                      <a:picLocks noChangeAspect="1"/>
                    </pic:cNvPicPr>
                  </pic:nvPicPr>
                  <pic:blipFill>
                    <a:blip r:embed="rId45"/>
                    <a:stretch>
                      <a:fillRect/>
                    </a:stretch>
                  </pic:blipFill>
                  <pic:spPr>
                    <a:xfrm>
                      <a:off x="0" y="0"/>
                      <a:ext cx="5267960" cy="3192145"/>
                    </a:xfrm>
                    <a:prstGeom prst="rect">
                      <a:avLst/>
                    </a:prstGeom>
                    <a:noFill/>
                    <a:ln>
                      <a:noFill/>
                    </a:ln>
                  </pic:spPr>
                </pic:pic>
              </a:graphicData>
            </a:graphic>
          </wp:inline>
        </w:drawing>
      </w:r>
      <w:r>
        <w:drawing>
          <wp:inline distT="0" distB="0" distL="114300" distR="114300">
            <wp:extent cx="5271770" cy="3335020"/>
            <wp:effectExtent l="0" t="0" r="5080" b="17780"/>
            <wp:docPr id="3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3"/>
                    <pic:cNvPicPr>
                      <a:picLocks noChangeAspect="1"/>
                    </pic:cNvPicPr>
                  </pic:nvPicPr>
                  <pic:blipFill>
                    <a:blip r:embed="rId46"/>
                    <a:stretch>
                      <a:fillRect/>
                    </a:stretch>
                  </pic:blipFill>
                  <pic:spPr>
                    <a:xfrm>
                      <a:off x="0" y="0"/>
                      <a:ext cx="5271770" cy="3335020"/>
                    </a:xfrm>
                    <a:prstGeom prst="rect">
                      <a:avLst/>
                    </a:prstGeom>
                    <a:noFill/>
                    <a:ln>
                      <a:noFill/>
                    </a:ln>
                  </pic:spPr>
                </pic:pic>
              </a:graphicData>
            </a:graphic>
          </wp:inline>
        </w:drawing>
      </w:r>
      <w:r>
        <w:drawing>
          <wp:inline distT="0" distB="0" distL="114300" distR="114300">
            <wp:extent cx="5271135" cy="3576320"/>
            <wp:effectExtent l="0" t="0" r="5715" b="5080"/>
            <wp:docPr id="3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4"/>
                    <pic:cNvPicPr>
                      <a:picLocks noChangeAspect="1"/>
                    </pic:cNvPicPr>
                  </pic:nvPicPr>
                  <pic:blipFill>
                    <a:blip r:embed="rId47"/>
                    <a:stretch>
                      <a:fillRect/>
                    </a:stretch>
                  </pic:blipFill>
                  <pic:spPr>
                    <a:xfrm>
                      <a:off x="0" y="0"/>
                      <a:ext cx="5271135" cy="3576320"/>
                    </a:xfrm>
                    <a:prstGeom prst="rect">
                      <a:avLst/>
                    </a:prstGeom>
                    <a:noFill/>
                    <a:ln>
                      <a:noFill/>
                    </a:ln>
                  </pic:spPr>
                </pic:pic>
              </a:graphicData>
            </a:graphic>
          </wp:inline>
        </w:drawing>
      </w:r>
      <w:r>
        <w:drawing>
          <wp:inline distT="0" distB="0" distL="114300" distR="114300">
            <wp:extent cx="5271770" cy="3402965"/>
            <wp:effectExtent l="0" t="0" r="5080" b="6985"/>
            <wp:docPr id="3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5"/>
                    <pic:cNvPicPr>
                      <a:picLocks noChangeAspect="1"/>
                    </pic:cNvPicPr>
                  </pic:nvPicPr>
                  <pic:blipFill>
                    <a:blip r:embed="rId48"/>
                    <a:stretch>
                      <a:fillRect/>
                    </a:stretch>
                  </pic:blipFill>
                  <pic:spPr>
                    <a:xfrm>
                      <a:off x="0" y="0"/>
                      <a:ext cx="5271770" cy="3402965"/>
                    </a:xfrm>
                    <a:prstGeom prst="rect">
                      <a:avLst/>
                    </a:prstGeom>
                    <a:noFill/>
                    <a:ln>
                      <a:noFill/>
                    </a:ln>
                  </pic:spPr>
                </pic:pic>
              </a:graphicData>
            </a:graphic>
          </wp:inline>
        </w:drawing>
      </w:r>
      <w:r>
        <w:drawing>
          <wp:inline distT="0" distB="0" distL="114300" distR="114300">
            <wp:extent cx="5271135" cy="3641725"/>
            <wp:effectExtent l="0" t="0" r="5715" b="15875"/>
            <wp:docPr id="3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6"/>
                    <pic:cNvPicPr>
                      <a:picLocks noChangeAspect="1"/>
                    </pic:cNvPicPr>
                  </pic:nvPicPr>
                  <pic:blipFill>
                    <a:blip r:embed="rId49"/>
                    <a:stretch>
                      <a:fillRect/>
                    </a:stretch>
                  </pic:blipFill>
                  <pic:spPr>
                    <a:xfrm>
                      <a:off x="0" y="0"/>
                      <a:ext cx="5271135" cy="3641725"/>
                    </a:xfrm>
                    <a:prstGeom prst="rect">
                      <a:avLst/>
                    </a:prstGeom>
                    <a:noFill/>
                    <a:ln>
                      <a:noFill/>
                    </a:ln>
                  </pic:spPr>
                </pic:pic>
              </a:graphicData>
            </a:graphic>
          </wp:inline>
        </w:drawing>
      </w:r>
      <w:r>
        <w:drawing>
          <wp:inline distT="0" distB="0" distL="114300" distR="114300">
            <wp:extent cx="5267960" cy="3368040"/>
            <wp:effectExtent l="0" t="0" r="8890" b="3810"/>
            <wp:docPr id="3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7"/>
                    <pic:cNvPicPr>
                      <a:picLocks noChangeAspect="1"/>
                    </pic:cNvPicPr>
                  </pic:nvPicPr>
                  <pic:blipFill>
                    <a:blip r:embed="rId50"/>
                    <a:stretch>
                      <a:fillRect/>
                    </a:stretch>
                  </pic:blipFill>
                  <pic:spPr>
                    <a:xfrm>
                      <a:off x="0" y="0"/>
                      <a:ext cx="5267960" cy="3368040"/>
                    </a:xfrm>
                    <a:prstGeom prst="rect">
                      <a:avLst/>
                    </a:prstGeom>
                    <a:noFill/>
                    <a:ln>
                      <a:noFill/>
                    </a:ln>
                  </pic:spPr>
                </pic:pic>
              </a:graphicData>
            </a:graphic>
          </wp:inline>
        </w:drawing>
      </w:r>
      <w:r>
        <w:drawing>
          <wp:inline distT="0" distB="0" distL="114300" distR="114300">
            <wp:extent cx="5272405" cy="3552825"/>
            <wp:effectExtent l="0" t="0" r="4445" b="9525"/>
            <wp:docPr id="3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8"/>
                    <pic:cNvPicPr>
                      <a:picLocks noChangeAspect="1"/>
                    </pic:cNvPicPr>
                  </pic:nvPicPr>
                  <pic:blipFill>
                    <a:blip r:embed="rId51"/>
                    <a:stretch>
                      <a:fillRect/>
                    </a:stretch>
                  </pic:blipFill>
                  <pic:spPr>
                    <a:xfrm>
                      <a:off x="0" y="0"/>
                      <a:ext cx="5272405" cy="3552825"/>
                    </a:xfrm>
                    <a:prstGeom prst="rect">
                      <a:avLst/>
                    </a:prstGeom>
                    <a:noFill/>
                    <a:ln>
                      <a:noFill/>
                    </a:ln>
                  </pic:spPr>
                </pic:pic>
              </a:graphicData>
            </a:graphic>
          </wp:inline>
        </w:drawing>
      </w:r>
      <w:r>
        <w:drawing>
          <wp:inline distT="0" distB="0" distL="114300" distR="114300">
            <wp:extent cx="5268595" cy="3503295"/>
            <wp:effectExtent l="0" t="0" r="8255" b="1905"/>
            <wp:docPr id="4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9"/>
                    <pic:cNvPicPr>
                      <a:picLocks noChangeAspect="1"/>
                    </pic:cNvPicPr>
                  </pic:nvPicPr>
                  <pic:blipFill>
                    <a:blip r:embed="rId52"/>
                    <a:stretch>
                      <a:fillRect/>
                    </a:stretch>
                  </pic:blipFill>
                  <pic:spPr>
                    <a:xfrm>
                      <a:off x="0" y="0"/>
                      <a:ext cx="5268595" cy="3503295"/>
                    </a:xfrm>
                    <a:prstGeom prst="rect">
                      <a:avLst/>
                    </a:prstGeom>
                    <a:noFill/>
                    <a:ln>
                      <a:noFill/>
                    </a:ln>
                  </pic:spPr>
                </pic:pic>
              </a:graphicData>
            </a:graphic>
          </wp:inline>
        </w:drawing>
      </w:r>
      <w:r>
        <w:drawing>
          <wp:inline distT="0" distB="0" distL="114300" distR="114300">
            <wp:extent cx="5271770" cy="3444240"/>
            <wp:effectExtent l="0" t="0" r="5080" b="3810"/>
            <wp:docPr id="4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0"/>
                    <pic:cNvPicPr>
                      <a:picLocks noChangeAspect="1"/>
                    </pic:cNvPicPr>
                  </pic:nvPicPr>
                  <pic:blipFill>
                    <a:blip r:embed="rId53"/>
                    <a:stretch>
                      <a:fillRect/>
                    </a:stretch>
                  </pic:blipFill>
                  <pic:spPr>
                    <a:xfrm>
                      <a:off x="0" y="0"/>
                      <a:ext cx="5271770" cy="3444240"/>
                    </a:xfrm>
                    <a:prstGeom prst="rect">
                      <a:avLst/>
                    </a:prstGeom>
                    <a:noFill/>
                    <a:ln>
                      <a:noFill/>
                    </a:ln>
                  </pic:spPr>
                </pic:pic>
              </a:graphicData>
            </a:graphic>
          </wp:inline>
        </w:drawing>
      </w:r>
      <w:r>
        <w:drawing>
          <wp:inline distT="0" distB="0" distL="114300" distR="114300">
            <wp:extent cx="5270500" cy="3446780"/>
            <wp:effectExtent l="0" t="0" r="6350" b="1270"/>
            <wp:docPr id="4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1"/>
                    <pic:cNvPicPr>
                      <a:picLocks noChangeAspect="1"/>
                    </pic:cNvPicPr>
                  </pic:nvPicPr>
                  <pic:blipFill>
                    <a:blip r:embed="rId54"/>
                    <a:stretch>
                      <a:fillRect/>
                    </a:stretch>
                  </pic:blipFill>
                  <pic:spPr>
                    <a:xfrm>
                      <a:off x="0" y="0"/>
                      <a:ext cx="5270500" cy="3446780"/>
                    </a:xfrm>
                    <a:prstGeom prst="rect">
                      <a:avLst/>
                    </a:prstGeom>
                    <a:noFill/>
                    <a:ln>
                      <a:noFill/>
                    </a:ln>
                  </pic:spPr>
                </pic:pic>
              </a:graphicData>
            </a:graphic>
          </wp:inline>
        </w:drawing>
      </w:r>
    </w:p>
    <w:sectPr>
      <w:pgSz w:w="11906" w:h="16838"/>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FB30A5C7-9B86-4FC4-9EB3-5EF5E3E9FE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行楷">
    <w:altName w:val="微软雅黑"/>
    <w:panose1 w:val="0201080004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DF50EE5B-16B3-4E89-A742-574FA457493D}"/>
  </w:font>
  <w:font w:name="仿宋">
    <w:panose1 w:val="02010609060101010101"/>
    <w:charset w:val="86"/>
    <w:family w:val="auto"/>
    <w:pitch w:val="default"/>
    <w:sig w:usb0="800002BF" w:usb1="38CF7CFA" w:usb2="00000016" w:usb3="00000000" w:csb0="00040001" w:csb1="00000000"/>
    <w:embedRegular r:id="rId3" w:fontKey="{ECAAD21E-1A69-47FA-8E53-EA97AA8882F1}"/>
  </w:font>
  <w:font w:name="方正小标宋_GBK">
    <w:panose1 w:val="02000000000000000000"/>
    <w:charset w:val="86"/>
    <w:family w:val="script"/>
    <w:pitch w:val="default"/>
    <w:sig w:usb0="00000000" w:usb1="00000000" w:usb2="00000000" w:usb3="00000000" w:csb0="00000000" w:csb1="00000000"/>
    <w:embedRegular r:id="rId4" w:fontKey="{0EB70582-D2BA-4AD1-80BF-09F0E997A0DE}"/>
  </w:font>
  <w:font w:name="楷体_GB2312">
    <w:panose1 w:val="02010609030101010101"/>
    <w:charset w:val="86"/>
    <w:family w:val="modern"/>
    <w:pitch w:val="default"/>
    <w:sig w:usb0="00000001" w:usb1="080E0000" w:usb2="00000000" w:usb3="00000000" w:csb0="00040000" w:csb1="00000000"/>
    <w:embedRegular r:id="rId5" w:fontKey="{185AD2EB-FE43-45E0-A522-C52E268C5663}"/>
  </w:font>
  <w:font w:name="PingFangSC-Light">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auto"/>
    <w:pitch w:val="default"/>
    <w:sig w:usb0="E00006FF" w:usb1="420024FF" w:usb2="02000000" w:usb3="00000000" w:csb0="2000019F" w:csb1="00000000"/>
    <w:embedRegular r:id="rId6" w:fontKey="{EAC7E756-EA8C-4838-BFEC-897F67770D60}"/>
  </w:font>
  <w:font w:name="等线">
    <w:panose1 w:val="02010600030101010101"/>
    <w:charset w:val="86"/>
    <w:family w:val="auto"/>
    <w:pitch w:val="default"/>
    <w:sig w:usb0="A00002BF" w:usb1="38CF7CFA" w:usb2="00000016" w:usb3="00000000" w:csb0="0004000F" w:csb1="00000000"/>
    <w:embedRegular r:id="rId7" w:fontKey="{B6D8A646-1325-47BC-A58D-07981BE946D9}"/>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framePr w:wrap="around" w:vAnchor="text" w:hAnchor="margin" w:xAlign="center" w:y="1"/>
      <w:rPr>
        <w:rStyle w:val="33"/>
      </w:rPr>
    </w:pPr>
    <w:r>
      <w:fldChar w:fldCharType="begin"/>
    </w:r>
    <w:r>
      <w:rPr>
        <w:rStyle w:val="33"/>
      </w:rPr>
      <w:instrText xml:space="preserve">PAGE  </w:instrText>
    </w:r>
    <w:r>
      <w:fldChar w:fldCharType="end"/>
    </w:r>
  </w:p>
  <w:p>
    <w:pPr>
      <w:pStyle w:val="2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20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9</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wps:txbx>
                    <wps:bodyPr vert="horz" wrap="none" lIns="0" tIns="0" rIns="0" bIns="0" anchor="t" anchorCtr="0" upright="0">
                      <a:spAutoFit/>
                    </wps:bodyPr>
                  </wps:wsp>
                </a:graphicData>
              </a:graphic>
            </wp:anchor>
          </w:drawing>
        </mc:Choice>
        <mc:Fallback>
          <w:pict>
            <v:shape id="文本框 205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wszO28cBAAB0AwAADgAAAAAAAAABACAAAAAeAQAAZHJzL2Uyb0RvYy54&#10;bWxQSwUGAAAAAAYABgBZAQAAVwUAAAAA&#10;">
              <v:fill on="f" focussize="0,0"/>
              <v:stroke on="f"/>
              <v:imagedata o:title=""/>
              <o:lock v:ext="edit" aspectratio="f"/>
              <v:textbox inset="0mm,0mm,0mm,0mm" style="mso-fit-shape-to-text:t;">
                <w:txbxContent>
                  <w:p>
                    <w:pPr>
                      <w:pStyle w:val="2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9</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20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11</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wps:txbx>
                    <wps:bodyPr vert="horz" wrap="none" lIns="0" tIns="0" rIns="0" bIns="0" anchor="t" anchorCtr="0" upright="0">
                      <a:spAutoFit/>
                    </wps:bodyPr>
                  </wps:wsp>
                </a:graphicData>
              </a:graphic>
            </wp:anchor>
          </w:drawing>
        </mc:Choice>
        <mc:Fallback>
          <w:pict>
            <v:shape id="文本框 205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H5xC6DIAQAAdAMAAA4AAAAAAAAAAQAgAAAAHgEAAGRycy9lMm9Eb2Mu&#10;eG1sUEsFBgAAAAAGAAYAWQEAAFgFAAAAAA==&#10;">
              <v:fill on="f" focussize="0,0"/>
              <v:stroke on="f"/>
              <v:imagedata o:title=""/>
              <o:lock v:ext="edit" aspectratio="f"/>
              <v:textbox inset="0mm,0mm,0mm,0mm" style="mso-fit-shape-to-text:t;">
                <w:txbxContent>
                  <w:p>
                    <w:pPr>
                      <w:pStyle w:val="2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11</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1acusVAgAAFQQAAA4AAABkcnMvZTJvRG9jLnhtbK1Ty47TMBTdI/EP&#10;lvc0aQd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vr6iRDOFHZ2+fzv9+HX6+ZVAB4Ba62fw21h4hu6t6bDoQe+hjHN3&#10;lVPxxkQEdkB9vMArukB4DJpOptMcJg7b8ED+7DHcOh/eCaNIFArqsL8EKzusfehdB5dYTZtVI2Xa&#10;odSkLej11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1acusVAgAAFQQAAA4AAAAAAAAA&#10;AQAgAAAAHwEAAGRycy9lMm9Eb2MueG1sUEsFBgAAAAAGAAYAWQEAAKYFA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43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CDBC6E"/>
    <w:multiLevelType w:val="singleLevel"/>
    <w:tmpl w:val="A5CDBC6E"/>
    <w:lvl w:ilvl="0" w:tentative="0">
      <w:start w:val="5"/>
      <w:numFmt w:val="decimal"/>
      <w:suff w:val="nothing"/>
      <w:lvlText w:val="（%1）"/>
      <w:lvlJc w:val="left"/>
    </w:lvl>
  </w:abstractNum>
  <w:abstractNum w:abstractNumId="1">
    <w:nsid w:val="C982EB17"/>
    <w:multiLevelType w:val="singleLevel"/>
    <w:tmpl w:val="C982EB17"/>
    <w:lvl w:ilvl="0" w:tentative="0">
      <w:start w:val="1"/>
      <w:numFmt w:val="decimal"/>
      <w:suff w:val="nothing"/>
      <w:lvlText w:val="%1、"/>
      <w:lvlJc w:val="left"/>
    </w:lvl>
  </w:abstractNum>
  <w:abstractNum w:abstractNumId="2">
    <w:nsid w:val="155218AF"/>
    <w:multiLevelType w:val="multilevel"/>
    <w:tmpl w:val="155218AF"/>
    <w:lvl w:ilvl="0" w:tentative="0">
      <w:start w:val="1"/>
      <w:numFmt w:val="decimal"/>
      <w:pStyle w:val="63"/>
      <w:lvlText w:val="表%1"/>
      <w:lvlJc w:val="left"/>
      <w:pPr>
        <w:ind w:left="620" w:hanging="420"/>
      </w:pPr>
      <w:rPr>
        <w:rFonts w:hint="default"/>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3">
    <w:nsid w:val="76896012"/>
    <w:multiLevelType w:val="singleLevel"/>
    <w:tmpl w:val="76896012"/>
    <w:lvl w:ilvl="0" w:tentative="0">
      <w:start w:val="1"/>
      <w:numFmt w:val="bullet"/>
      <w:pStyle w:val="18"/>
      <w:lvlText w:val=""/>
      <w:lvlJc w:val="left"/>
      <w:pPr>
        <w:tabs>
          <w:tab w:val="left" w:pos="2040"/>
        </w:tabs>
        <w:ind w:left="2040" w:hanging="360"/>
      </w:pPr>
      <w:rPr>
        <w:rFonts w:hint="default" w:ascii="Wingdings" w:hAnsi="Wingdings"/>
      </w:rPr>
    </w:lvl>
  </w:abstractNum>
  <w:abstractNum w:abstractNumId="4">
    <w:nsid w:val="7E0B2879"/>
    <w:multiLevelType w:val="singleLevel"/>
    <w:tmpl w:val="7E0B2879"/>
    <w:lvl w:ilvl="0" w:tentative="0">
      <w:start w:val="3"/>
      <w:numFmt w:val="decimal"/>
      <w:suff w:val="nothing"/>
      <w:lvlText w:val="（%1）"/>
      <w:lvlJc w:val="left"/>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xYjE0ODY0YzUzMzU2N2EyOTFkYjA4ZWVlNmY4NDE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16E7F"/>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76EE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0603E"/>
    <w:rsid w:val="00B1078B"/>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751D0"/>
    <w:rsid w:val="00F80A0A"/>
    <w:rsid w:val="00F82B19"/>
    <w:rsid w:val="00F9212D"/>
    <w:rsid w:val="00F965DA"/>
    <w:rsid w:val="00FA406A"/>
    <w:rsid w:val="00FB503A"/>
    <w:rsid w:val="00FB516C"/>
    <w:rsid w:val="00FD0236"/>
    <w:rsid w:val="00FD18F4"/>
    <w:rsid w:val="00FD54DB"/>
    <w:rsid w:val="00FD619F"/>
    <w:rsid w:val="011121E8"/>
    <w:rsid w:val="01290F7E"/>
    <w:rsid w:val="015D1E09"/>
    <w:rsid w:val="017B6B58"/>
    <w:rsid w:val="019033CD"/>
    <w:rsid w:val="01981E86"/>
    <w:rsid w:val="01D2320F"/>
    <w:rsid w:val="0205096A"/>
    <w:rsid w:val="02167FC9"/>
    <w:rsid w:val="021B3862"/>
    <w:rsid w:val="02261B9E"/>
    <w:rsid w:val="02697903"/>
    <w:rsid w:val="027D6FE3"/>
    <w:rsid w:val="02B97880"/>
    <w:rsid w:val="02DB7FEA"/>
    <w:rsid w:val="02E16686"/>
    <w:rsid w:val="02F96569"/>
    <w:rsid w:val="03575264"/>
    <w:rsid w:val="0359750E"/>
    <w:rsid w:val="038B79FE"/>
    <w:rsid w:val="03EA7B21"/>
    <w:rsid w:val="03F260D5"/>
    <w:rsid w:val="04400509"/>
    <w:rsid w:val="046D182C"/>
    <w:rsid w:val="04C8613F"/>
    <w:rsid w:val="05097A6D"/>
    <w:rsid w:val="051B732B"/>
    <w:rsid w:val="05842F33"/>
    <w:rsid w:val="059F6D52"/>
    <w:rsid w:val="05D61372"/>
    <w:rsid w:val="05EB3A8F"/>
    <w:rsid w:val="05F83EAE"/>
    <w:rsid w:val="060302C9"/>
    <w:rsid w:val="06185823"/>
    <w:rsid w:val="062F5408"/>
    <w:rsid w:val="063E7D85"/>
    <w:rsid w:val="06455F74"/>
    <w:rsid w:val="06CD0B19"/>
    <w:rsid w:val="07293586"/>
    <w:rsid w:val="07295285"/>
    <w:rsid w:val="074D6D6B"/>
    <w:rsid w:val="07636392"/>
    <w:rsid w:val="07770C56"/>
    <w:rsid w:val="07CD489F"/>
    <w:rsid w:val="08707328"/>
    <w:rsid w:val="08BA0E3B"/>
    <w:rsid w:val="08C475AE"/>
    <w:rsid w:val="08F6498F"/>
    <w:rsid w:val="092217DD"/>
    <w:rsid w:val="093A7294"/>
    <w:rsid w:val="099830FE"/>
    <w:rsid w:val="0A0E259B"/>
    <w:rsid w:val="0A1B74D6"/>
    <w:rsid w:val="0A1D015B"/>
    <w:rsid w:val="0A255CB5"/>
    <w:rsid w:val="0A263993"/>
    <w:rsid w:val="0A2D3AC2"/>
    <w:rsid w:val="0A361932"/>
    <w:rsid w:val="0AA755DF"/>
    <w:rsid w:val="0B041011"/>
    <w:rsid w:val="0B120D44"/>
    <w:rsid w:val="0B504A69"/>
    <w:rsid w:val="0B676151"/>
    <w:rsid w:val="0B701CFA"/>
    <w:rsid w:val="0B927069"/>
    <w:rsid w:val="0B9F6E8C"/>
    <w:rsid w:val="0BA85FDE"/>
    <w:rsid w:val="0BD27BF6"/>
    <w:rsid w:val="0BD302DF"/>
    <w:rsid w:val="0BE42C4E"/>
    <w:rsid w:val="0C2A0C3B"/>
    <w:rsid w:val="0C3B3C7D"/>
    <w:rsid w:val="0C5E4350"/>
    <w:rsid w:val="0C623AD8"/>
    <w:rsid w:val="0CAB2EAE"/>
    <w:rsid w:val="0CCB2787"/>
    <w:rsid w:val="0CCE444A"/>
    <w:rsid w:val="0D621C7D"/>
    <w:rsid w:val="0DB433B1"/>
    <w:rsid w:val="0DF26598"/>
    <w:rsid w:val="0E0D1141"/>
    <w:rsid w:val="0E1F1513"/>
    <w:rsid w:val="0E423DE1"/>
    <w:rsid w:val="0E73034D"/>
    <w:rsid w:val="0E9D1781"/>
    <w:rsid w:val="0E9F5443"/>
    <w:rsid w:val="0F13775A"/>
    <w:rsid w:val="0F1F2AEA"/>
    <w:rsid w:val="0F3A4F92"/>
    <w:rsid w:val="0F3D758C"/>
    <w:rsid w:val="0F5B5092"/>
    <w:rsid w:val="0F5F45FE"/>
    <w:rsid w:val="0F8A441C"/>
    <w:rsid w:val="0F9A112B"/>
    <w:rsid w:val="0FAB6BF2"/>
    <w:rsid w:val="0FF91F6B"/>
    <w:rsid w:val="106D2F64"/>
    <w:rsid w:val="108D0CFD"/>
    <w:rsid w:val="10A130A2"/>
    <w:rsid w:val="10A9038F"/>
    <w:rsid w:val="10B63710"/>
    <w:rsid w:val="10B66091"/>
    <w:rsid w:val="10BD52A8"/>
    <w:rsid w:val="10C9278D"/>
    <w:rsid w:val="10F10820"/>
    <w:rsid w:val="11014C09"/>
    <w:rsid w:val="110A6BD7"/>
    <w:rsid w:val="111C2F7A"/>
    <w:rsid w:val="11665CA1"/>
    <w:rsid w:val="11C915E0"/>
    <w:rsid w:val="11DB10E2"/>
    <w:rsid w:val="11FC3698"/>
    <w:rsid w:val="1222743B"/>
    <w:rsid w:val="12333462"/>
    <w:rsid w:val="13137E5F"/>
    <w:rsid w:val="13223A43"/>
    <w:rsid w:val="13250848"/>
    <w:rsid w:val="136873B3"/>
    <w:rsid w:val="137919E5"/>
    <w:rsid w:val="13951726"/>
    <w:rsid w:val="139C31B4"/>
    <w:rsid w:val="13BD2E1A"/>
    <w:rsid w:val="14197EED"/>
    <w:rsid w:val="14396509"/>
    <w:rsid w:val="143C00A0"/>
    <w:rsid w:val="143C5B6F"/>
    <w:rsid w:val="14691F82"/>
    <w:rsid w:val="14AA3362"/>
    <w:rsid w:val="14AF359B"/>
    <w:rsid w:val="14B55F96"/>
    <w:rsid w:val="14CB4D46"/>
    <w:rsid w:val="14DD2C3C"/>
    <w:rsid w:val="14E121AE"/>
    <w:rsid w:val="152E3EA7"/>
    <w:rsid w:val="153C5834"/>
    <w:rsid w:val="15461D15"/>
    <w:rsid w:val="15751255"/>
    <w:rsid w:val="15895A52"/>
    <w:rsid w:val="15AD48E8"/>
    <w:rsid w:val="15DA0777"/>
    <w:rsid w:val="15F73341"/>
    <w:rsid w:val="15F83DA8"/>
    <w:rsid w:val="15FE57F2"/>
    <w:rsid w:val="16087E1D"/>
    <w:rsid w:val="162B4EB1"/>
    <w:rsid w:val="16576794"/>
    <w:rsid w:val="16914AB6"/>
    <w:rsid w:val="17214B15"/>
    <w:rsid w:val="173F67CA"/>
    <w:rsid w:val="17453684"/>
    <w:rsid w:val="17575798"/>
    <w:rsid w:val="17701D14"/>
    <w:rsid w:val="17735226"/>
    <w:rsid w:val="17883F1B"/>
    <w:rsid w:val="17A9701D"/>
    <w:rsid w:val="17EF6030"/>
    <w:rsid w:val="18531E8F"/>
    <w:rsid w:val="18671A52"/>
    <w:rsid w:val="18742FF5"/>
    <w:rsid w:val="189F624C"/>
    <w:rsid w:val="18D06CC6"/>
    <w:rsid w:val="18D55C16"/>
    <w:rsid w:val="18E8127F"/>
    <w:rsid w:val="190C7F4A"/>
    <w:rsid w:val="19490C49"/>
    <w:rsid w:val="19565CC0"/>
    <w:rsid w:val="19577A1E"/>
    <w:rsid w:val="19676F62"/>
    <w:rsid w:val="19AD6EF2"/>
    <w:rsid w:val="19CD5980"/>
    <w:rsid w:val="1A122317"/>
    <w:rsid w:val="1A1C3F14"/>
    <w:rsid w:val="1A1C66C0"/>
    <w:rsid w:val="1A42393B"/>
    <w:rsid w:val="1A506C4A"/>
    <w:rsid w:val="1A814378"/>
    <w:rsid w:val="1A84413A"/>
    <w:rsid w:val="1AAD45DE"/>
    <w:rsid w:val="1ABD795F"/>
    <w:rsid w:val="1AD70F2D"/>
    <w:rsid w:val="1B046F80"/>
    <w:rsid w:val="1B1473BC"/>
    <w:rsid w:val="1B197F31"/>
    <w:rsid w:val="1B2E2687"/>
    <w:rsid w:val="1B3267B5"/>
    <w:rsid w:val="1B40161D"/>
    <w:rsid w:val="1B441859"/>
    <w:rsid w:val="1B477465"/>
    <w:rsid w:val="1B6606B1"/>
    <w:rsid w:val="1B794D59"/>
    <w:rsid w:val="1B9E5220"/>
    <w:rsid w:val="1BA52478"/>
    <w:rsid w:val="1BE45B9D"/>
    <w:rsid w:val="1C2A6AC2"/>
    <w:rsid w:val="1C4228FA"/>
    <w:rsid w:val="1C5A5F7D"/>
    <w:rsid w:val="1C5E7925"/>
    <w:rsid w:val="1C636D7B"/>
    <w:rsid w:val="1C6671ED"/>
    <w:rsid w:val="1C97580E"/>
    <w:rsid w:val="1C9C6A8E"/>
    <w:rsid w:val="1CA04F1C"/>
    <w:rsid w:val="1CBA10F7"/>
    <w:rsid w:val="1CD03DAB"/>
    <w:rsid w:val="1CD25EE5"/>
    <w:rsid w:val="1CFD070F"/>
    <w:rsid w:val="1D5F6196"/>
    <w:rsid w:val="1D6132A5"/>
    <w:rsid w:val="1D822594"/>
    <w:rsid w:val="1D871D2E"/>
    <w:rsid w:val="1D8C461D"/>
    <w:rsid w:val="1D8E56D5"/>
    <w:rsid w:val="1D8F0979"/>
    <w:rsid w:val="1DC7082F"/>
    <w:rsid w:val="1DF43BD5"/>
    <w:rsid w:val="1E2C13E6"/>
    <w:rsid w:val="1E340689"/>
    <w:rsid w:val="1E49588A"/>
    <w:rsid w:val="1E5A63DC"/>
    <w:rsid w:val="1E7A43DA"/>
    <w:rsid w:val="1ECC5B48"/>
    <w:rsid w:val="1ED24AB3"/>
    <w:rsid w:val="1EF02975"/>
    <w:rsid w:val="1F4443B2"/>
    <w:rsid w:val="1F671A4A"/>
    <w:rsid w:val="1F7D1EE6"/>
    <w:rsid w:val="1FA63B31"/>
    <w:rsid w:val="1FE7539E"/>
    <w:rsid w:val="200F4CC3"/>
    <w:rsid w:val="203936FA"/>
    <w:rsid w:val="20431449"/>
    <w:rsid w:val="20671BE0"/>
    <w:rsid w:val="207B4C6C"/>
    <w:rsid w:val="20864E0B"/>
    <w:rsid w:val="20963CB8"/>
    <w:rsid w:val="20A81A1B"/>
    <w:rsid w:val="20B07FB6"/>
    <w:rsid w:val="20B646FB"/>
    <w:rsid w:val="20C4276B"/>
    <w:rsid w:val="20E00670"/>
    <w:rsid w:val="213B74B1"/>
    <w:rsid w:val="2151001D"/>
    <w:rsid w:val="215A2310"/>
    <w:rsid w:val="21630A1E"/>
    <w:rsid w:val="216E1873"/>
    <w:rsid w:val="21B653B5"/>
    <w:rsid w:val="21CE3698"/>
    <w:rsid w:val="21DE318A"/>
    <w:rsid w:val="21E2519E"/>
    <w:rsid w:val="21EF5B80"/>
    <w:rsid w:val="21FE4B23"/>
    <w:rsid w:val="22217789"/>
    <w:rsid w:val="223D1532"/>
    <w:rsid w:val="22537179"/>
    <w:rsid w:val="22576990"/>
    <w:rsid w:val="22620B99"/>
    <w:rsid w:val="229972EB"/>
    <w:rsid w:val="22A66B81"/>
    <w:rsid w:val="22F47480"/>
    <w:rsid w:val="235F450F"/>
    <w:rsid w:val="23683EFA"/>
    <w:rsid w:val="23785725"/>
    <w:rsid w:val="23BA79D0"/>
    <w:rsid w:val="23DE1C48"/>
    <w:rsid w:val="23FA3DEB"/>
    <w:rsid w:val="23FD1F37"/>
    <w:rsid w:val="240210CD"/>
    <w:rsid w:val="242A09AF"/>
    <w:rsid w:val="243508DF"/>
    <w:rsid w:val="243B0A26"/>
    <w:rsid w:val="24500923"/>
    <w:rsid w:val="24585EDF"/>
    <w:rsid w:val="246360A2"/>
    <w:rsid w:val="249101A6"/>
    <w:rsid w:val="24B51FCB"/>
    <w:rsid w:val="24BF09F7"/>
    <w:rsid w:val="25014703"/>
    <w:rsid w:val="252D53FE"/>
    <w:rsid w:val="25353D2F"/>
    <w:rsid w:val="257B6516"/>
    <w:rsid w:val="25C218DC"/>
    <w:rsid w:val="25C4399B"/>
    <w:rsid w:val="25C5028D"/>
    <w:rsid w:val="25DA3182"/>
    <w:rsid w:val="25E5514E"/>
    <w:rsid w:val="25E67F48"/>
    <w:rsid w:val="25EC2D81"/>
    <w:rsid w:val="25F866D1"/>
    <w:rsid w:val="25F976A7"/>
    <w:rsid w:val="25FA4A5F"/>
    <w:rsid w:val="265D1549"/>
    <w:rsid w:val="266D7D5B"/>
    <w:rsid w:val="267E28DB"/>
    <w:rsid w:val="26955D35"/>
    <w:rsid w:val="26C55407"/>
    <w:rsid w:val="26C82584"/>
    <w:rsid w:val="26CB3E5F"/>
    <w:rsid w:val="26CE741C"/>
    <w:rsid w:val="275142B7"/>
    <w:rsid w:val="277057A2"/>
    <w:rsid w:val="27E33207"/>
    <w:rsid w:val="28072F0C"/>
    <w:rsid w:val="28130EFA"/>
    <w:rsid w:val="28540B36"/>
    <w:rsid w:val="28684D98"/>
    <w:rsid w:val="29206EB8"/>
    <w:rsid w:val="293D0F52"/>
    <w:rsid w:val="29595666"/>
    <w:rsid w:val="29874881"/>
    <w:rsid w:val="298924A9"/>
    <w:rsid w:val="299E6D8C"/>
    <w:rsid w:val="29DC72A3"/>
    <w:rsid w:val="29E325E0"/>
    <w:rsid w:val="29E94C1E"/>
    <w:rsid w:val="2A1360C6"/>
    <w:rsid w:val="2A16686A"/>
    <w:rsid w:val="2A175EBF"/>
    <w:rsid w:val="2A452503"/>
    <w:rsid w:val="2A521B11"/>
    <w:rsid w:val="2A70211C"/>
    <w:rsid w:val="2A85680A"/>
    <w:rsid w:val="2A9C3ADF"/>
    <w:rsid w:val="2AB4501D"/>
    <w:rsid w:val="2AEE3107"/>
    <w:rsid w:val="2AF51608"/>
    <w:rsid w:val="2B0320F9"/>
    <w:rsid w:val="2B465DBF"/>
    <w:rsid w:val="2B4A5F6D"/>
    <w:rsid w:val="2B5409F0"/>
    <w:rsid w:val="2B6163EE"/>
    <w:rsid w:val="2B7B7489"/>
    <w:rsid w:val="2B8C25FF"/>
    <w:rsid w:val="2BA936A8"/>
    <w:rsid w:val="2BBA491B"/>
    <w:rsid w:val="2BCA2FFD"/>
    <w:rsid w:val="2BCD7344"/>
    <w:rsid w:val="2BD33884"/>
    <w:rsid w:val="2C0E681E"/>
    <w:rsid w:val="2C2E33FE"/>
    <w:rsid w:val="2C315A5A"/>
    <w:rsid w:val="2C42045B"/>
    <w:rsid w:val="2C4B1C25"/>
    <w:rsid w:val="2C4F6588"/>
    <w:rsid w:val="2C5D7BC0"/>
    <w:rsid w:val="2CB9732B"/>
    <w:rsid w:val="2D3F3E15"/>
    <w:rsid w:val="2D5372E9"/>
    <w:rsid w:val="2D5B60AE"/>
    <w:rsid w:val="2D964D60"/>
    <w:rsid w:val="2D9B6B0E"/>
    <w:rsid w:val="2D9E56F5"/>
    <w:rsid w:val="2E004726"/>
    <w:rsid w:val="2E05270F"/>
    <w:rsid w:val="2E07165B"/>
    <w:rsid w:val="2E120A28"/>
    <w:rsid w:val="2E4C262D"/>
    <w:rsid w:val="2E51371E"/>
    <w:rsid w:val="2E667F96"/>
    <w:rsid w:val="2E8226AB"/>
    <w:rsid w:val="2F5B158F"/>
    <w:rsid w:val="2F841E28"/>
    <w:rsid w:val="2FC4498F"/>
    <w:rsid w:val="2FD065E6"/>
    <w:rsid w:val="2FD96870"/>
    <w:rsid w:val="30082A1C"/>
    <w:rsid w:val="301E10B7"/>
    <w:rsid w:val="30384577"/>
    <w:rsid w:val="303A0C09"/>
    <w:rsid w:val="305539E9"/>
    <w:rsid w:val="30580BC9"/>
    <w:rsid w:val="308A2DD8"/>
    <w:rsid w:val="31045D62"/>
    <w:rsid w:val="311E2ED7"/>
    <w:rsid w:val="31491F46"/>
    <w:rsid w:val="315619EE"/>
    <w:rsid w:val="315C3863"/>
    <w:rsid w:val="315C449C"/>
    <w:rsid w:val="31664639"/>
    <w:rsid w:val="31AB31B8"/>
    <w:rsid w:val="31B82709"/>
    <w:rsid w:val="31D03865"/>
    <w:rsid w:val="31D05482"/>
    <w:rsid w:val="31F427A0"/>
    <w:rsid w:val="320819D7"/>
    <w:rsid w:val="32201C61"/>
    <w:rsid w:val="32277185"/>
    <w:rsid w:val="32373A04"/>
    <w:rsid w:val="32400B34"/>
    <w:rsid w:val="326D55DE"/>
    <w:rsid w:val="32903C36"/>
    <w:rsid w:val="329262E2"/>
    <w:rsid w:val="329E6876"/>
    <w:rsid w:val="33103826"/>
    <w:rsid w:val="333015F2"/>
    <w:rsid w:val="333F4FF3"/>
    <w:rsid w:val="334B6320"/>
    <w:rsid w:val="33954C73"/>
    <w:rsid w:val="33AE31E3"/>
    <w:rsid w:val="33D934D4"/>
    <w:rsid w:val="33EB379D"/>
    <w:rsid w:val="33FE03D7"/>
    <w:rsid w:val="33FE2F6A"/>
    <w:rsid w:val="340D5119"/>
    <w:rsid w:val="340E07E5"/>
    <w:rsid w:val="34235BF7"/>
    <w:rsid w:val="34311C0E"/>
    <w:rsid w:val="34854D72"/>
    <w:rsid w:val="34A65E6C"/>
    <w:rsid w:val="34AA19D5"/>
    <w:rsid w:val="34CA0B14"/>
    <w:rsid w:val="34E642E4"/>
    <w:rsid w:val="3508784C"/>
    <w:rsid w:val="3518029B"/>
    <w:rsid w:val="35236F98"/>
    <w:rsid w:val="35396D0C"/>
    <w:rsid w:val="356B5A2B"/>
    <w:rsid w:val="358C5FA8"/>
    <w:rsid w:val="35B91923"/>
    <w:rsid w:val="35C0684E"/>
    <w:rsid w:val="35C15DF1"/>
    <w:rsid w:val="35EC5FDB"/>
    <w:rsid w:val="35F6773C"/>
    <w:rsid w:val="36074A7F"/>
    <w:rsid w:val="36923549"/>
    <w:rsid w:val="36B75FBF"/>
    <w:rsid w:val="36BD0C45"/>
    <w:rsid w:val="37002973"/>
    <w:rsid w:val="375F3C64"/>
    <w:rsid w:val="37AD3910"/>
    <w:rsid w:val="37E00298"/>
    <w:rsid w:val="38226065"/>
    <w:rsid w:val="382E007D"/>
    <w:rsid w:val="38326BB4"/>
    <w:rsid w:val="389E6D44"/>
    <w:rsid w:val="38B302F9"/>
    <w:rsid w:val="38F12CD3"/>
    <w:rsid w:val="38F24280"/>
    <w:rsid w:val="38F94775"/>
    <w:rsid w:val="392971ED"/>
    <w:rsid w:val="39325651"/>
    <w:rsid w:val="393F6A4C"/>
    <w:rsid w:val="39945324"/>
    <w:rsid w:val="39B05882"/>
    <w:rsid w:val="39E958F2"/>
    <w:rsid w:val="39EB6C17"/>
    <w:rsid w:val="39F7575A"/>
    <w:rsid w:val="3A400F59"/>
    <w:rsid w:val="3A70112C"/>
    <w:rsid w:val="3A715BE6"/>
    <w:rsid w:val="3A82368B"/>
    <w:rsid w:val="3A872856"/>
    <w:rsid w:val="3AA134BC"/>
    <w:rsid w:val="3ABA6E6F"/>
    <w:rsid w:val="3AC7651B"/>
    <w:rsid w:val="3ADA57AC"/>
    <w:rsid w:val="3AF917BE"/>
    <w:rsid w:val="3B37244D"/>
    <w:rsid w:val="3B3763D1"/>
    <w:rsid w:val="3B7908EA"/>
    <w:rsid w:val="3B7A0443"/>
    <w:rsid w:val="3BA7682B"/>
    <w:rsid w:val="3BB22D00"/>
    <w:rsid w:val="3BD01333"/>
    <w:rsid w:val="3BD05689"/>
    <w:rsid w:val="3C2F6E1E"/>
    <w:rsid w:val="3C4F64BA"/>
    <w:rsid w:val="3C976B3F"/>
    <w:rsid w:val="3CAA3054"/>
    <w:rsid w:val="3CB648C4"/>
    <w:rsid w:val="3CC71CF3"/>
    <w:rsid w:val="3CDA245A"/>
    <w:rsid w:val="3D1E06B7"/>
    <w:rsid w:val="3D1F0905"/>
    <w:rsid w:val="3D4655C3"/>
    <w:rsid w:val="3D87783A"/>
    <w:rsid w:val="3DB63E41"/>
    <w:rsid w:val="3DE47E5B"/>
    <w:rsid w:val="3E0D25BE"/>
    <w:rsid w:val="3E6650CD"/>
    <w:rsid w:val="3EA72AE8"/>
    <w:rsid w:val="3EB65825"/>
    <w:rsid w:val="3EDA0523"/>
    <w:rsid w:val="3EF9599F"/>
    <w:rsid w:val="3F255F63"/>
    <w:rsid w:val="3F304BA2"/>
    <w:rsid w:val="3F4855CD"/>
    <w:rsid w:val="3F5166A7"/>
    <w:rsid w:val="3F564254"/>
    <w:rsid w:val="3F5D41C1"/>
    <w:rsid w:val="3F7F50DD"/>
    <w:rsid w:val="3F896226"/>
    <w:rsid w:val="3F913EC5"/>
    <w:rsid w:val="3FA310C4"/>
    <w:rsid w:val="3FD86B98"/>
    <w:rsid w:val="3FF041B7"/>
    <w:rsid w:val="40066D1F"/>
    <w:rsid w:val="40741B85"/>
    <w:rsid w:val="407A6407"/>
    <w:rsid w:val="407F2E19"/>
    <w:rsid w:val="40E64DF9"/>
    <w:rsid w:val="41157A56"/>
    <w:rsid w:val="411A4AC6"/>
    <w:rsid w:val="414211A5"/>
    <w:rsid w:val="418506B8"/>
    <w:rsid w:val="41D546E9"/>
    <w:rsid w:val="4200449D"/>
    <w:rsid w:val="423A3BCC"/>
    <w:rsid w:val="424236F4"/>
    <w:rsid w:val="424E57D2"/>
    <w:rsid w:val="42572CB5"/>
    <w:rsid w:val="42954D3B"/>
    <w:rsid w:val="42B26C49"/>
    <w:rsid w:val="42B655FF"/>
    <w:rsid w:val="42C2380C"/>
    <w:rsid w:val="42C24B15"/>
    <w:rsid w:val="42C718FF"/>
    <w:rsid w:val="431B66EB"/>
    <w:rsid w:val="433A6FE6"/>
    <w:rsid w:val="43480868"/>
    <w:rsid w:val="4350713C"/>
    <w:rsid w:val="436653E0"/>
    <w:rsid w:val="436B4F55"/>
    <w:rsid w:val="43702A96"/>
    <w:rsid w:val="439B7CA4"/>
    <w:rsid w:val="43C4431A"/>
    <w:rsid w:val="43F226EB"/>
    <w:rsid w:val="4404080F"/>
    <w:rsid w:val="441516CC"/>
    <w:rsid w:val="44217902"/>
    <w:rsid w:val="4427192E"/>
    <w:rsid w:val="44562E01"/>
    <w:rsid w:val="446903D6"/>
    <w:rsid w:val="447D42ED"/>
    <w:rsid w:val="44B951CC"/>
    <w:rsid w:val="44CD14E0"/>
    <w:rsid w:val="44F20B0B"/>
    <w:rsid w:val="450F185A"/>
    <w:rsid w:val="452013C5"/>
    <w:rsid w:val="4529706E"/>
    <w:rsid w:val="45297855"/>
    <w:rsid w:val="452E5F4C"/>
    <w:rsid w:val="453C0CE7"/>
    <w:rsid w:val="45612018"/>
    <w:rsid w:val="458946E9"/>
    <w:rsid w:val="45A47C0E"/>
    <w:rsid w:val="45CD51CE"/>
    <w:rsid w:val="45D12B05"/>
    <w:rsid w:val="461364B4"/>
    <w:rsid w:val="46577FD6"/>
    <w:rsid w:val="46966F6C"/>
    <w:rsid w:val="46C02996"/>
    <w:rsid w:val="46D955A7"/>
    <w:rsid w:val="47095454"/>
    <w:rsid w:val="47133957"/>
    <w:rsid w:val="4720608F"/>
    <w:rsid w:val="47274F9C"/>
    <w:rsid w:val="474230B2"/>
    <w:rsid w:val="474748A5"/>
    <w:rsid w:val="47487BEA"/>
    <w:rsid w:val="474B1A26"/>
    <w:rsid w:val="47611CE5"/>
    <w:rsid w:val="47616EFE"/>
    <w:rsid w:val="47A07E0C"/>
    <w:rsid w:val="47BF067F"/>
    <w:rsid w:val="480B33BC"/>
    <w:rsid w:val="48334420"/>
    <w:rsid w:val="4870272E"/>
    <w:rsid w:val="4877577E"/>
    <w:rsid w:val="48C27B4E"/>
    <w:rsid w:val="4907002B"/>
    <w:rsid w:val="490C6B7F"/>
    <w:rsid w:val="4928192F"/>
    <w:rsid w:val="492D3556"/>
    <w:rsid w:val="495B540A"/>
    <w:rsid w:val="49A260A5"/>
    <w:rsid w:val="49A73790"/>
    <w:rsid w:val="49AF2A38"/>
    <w:rsid w:val="49DC7715"/>
    <w:rsid w:val="49F14B41"/>
    <w:rsid w:val="4A023139"/>
    <w:rsid w:val="4A1A1B1F"/>
    <w:rsid w:val="4A7B576F"/>
    <w:rsid w:val="4A9926A3"/>
    <w:rsid w:val="4A9C33B3"/>
    <w:rsid w:val="4ABD5996"/>
    <w:rsid w:val="4ADB576C"/>
    <w:rsid w:val="4AF561A9"/>
    <w:rsid w:val="4B410B3E"/>
    <w:rsid w:val="4B6B6DDC"/>
    <w:rsid w:val="4B7E5F4D"/>
    <w:rsid w:val="4B8962C1"/>
    <w:rsid w:val="4B976271"/>
    <w:rsid w:val="4B9E4B6B"/>
    <w:rsid w:val="4BA45A83"/>
    <w:rsid w:val="4BA47516"/>
    <w:rsid w:val="4BA641D0"/>
    <w:rsid w:val="4BC67AC5"/>
    <w:rsid w:val="4BC92923"/>
    <w:rsid w:val="4C166F33"/>
    <w:rsid w:val="4C4A0649"/>
    <w:rsid w:val="4C5E0E5B"/>
    <w:rsid w:val="4C625B87"/>
    <w:rsid w:val="4C7E5ECA"/>
    <w:rsid w:val="4C876AA5"/>
    <w:rsid w:val="4D0430A4"/>
    <w:rsid w:val="4D0A4024"/>
    <w:rsid w:val="4D0E00FB"/>
    <w:rsid w:val="4D176606"/>
    <w:rsid w:val="4D4365FE"/>
    <w:rsid w:val="4DCD0A6E"/>
    <w:rsid w:val="4DEC4FB0"/>
    <w:rsid w:val="4DEF101A"/>
    <w:rsid w:val="4E075D8A"/>
    <w:rsid w:val="4E1121D8"/>
    <w:rsid w:val="4E244CA2"/>
    <w:rsid w:val="4E4C00C0"/>
    <w:rsid w:val="4E561ACB"/>
    <w:rsid w:val="4E817E28"/>
    <w:rsid w:val="4EC00FAD"/>
    <w:rsid w:val="4EC878DB"/>
    <w:rsid w:val="4ED97085"/>
    <w:rsid w:val="4F124EEE"/>
    <w:rsid w:val="4F232A45"/>
    <w:rsid w:val="4F232B85"/>
    <w:rsid w:val="4F3E2CB1"/>
    <w:rsid w:val="4F8F3D7E"/>
    <w:rsid w:val="4F910714"/>
    <w:rsid w:val="4F9843DC"/>
    <w:rsid w:val="4FB716BA"/>
    <w:rsid w:val="4FC62A8C"/>
    <w:rsid w:val="4FE20F0D"/>
    <w:rsid w:val="4FE51552"/>
    <w:rsid w:val="501E5694"/>
    <w:rsid w:val="50485798"/>
    <w:rsid w:val="50504C4B"/>
    <w:rsid w:val="50573227"/>
    <w:rsid w:val="50732DCE"/>
    <w:rsid w:val="50732E68"/>
    <w:rsid w:val="5078063E"/>
    <w:rsid w:val="507E1C38"/>
    <w:rsid w:val="509C6E7C"/>
    <w:rsid w:val="50A624E8"/>
    <w:rsid w:val="50B67D2B"/>
    <w:rsid w:val="50C3433E"/>
    <w:rsid w:val="50E11ED6"/>
    <w:rsid w:val="50F11BE4"/>
    <w:rsid w:val="512417F5"/>
    <w:rsid w:val="51480A14"/>
    <w:rsid w:val="5162104E"/>
    <w:rsid w:val="516C31A7"/>
    <w:rsid w:val="517642EF"/>
    <w:rsid w:val="519B3C4D"/>
    <w:rsid w:val="51BE7DA6"/>
    <w:rsid w:val="51E64440"/>
    <w:rsid w:val="526C67A8"/>
    <w:rsid w:val="52854557"/>
    <w:rsid w:val="52963C92"/>
    <w:rsid w:val="52A67B04"/>
    <w:rsid w:val="52DA41EC"/>
    <w:rsid w:val="531A586A"/>
    <w:rsid w:val="531B228D"/>
    <w:rsid w:val="53702648"/>
    <w:rsid w:val="537D4275"/>
    <w:rsid w:val="53A039CC"/>
    <w:rsid w:val="53A1505A"/>
    <w:rsid w:val="53A22660"/>
    <w:rsid w:val="53DD1FE5"/>
    <w:rsid w:val="53FB691A"/>
    <w:rsid w:val="54063E08"/>
    <w:rsid w:val="542D54B9"/>
    <w:rsid w:val="543437E8"/>
    <w:rsid w:val="548F5F1C"/>
    <w:rsid w:val="54B65E06"/>
    <w:rsid w:val="54CB700C"/>
    <w:rsid w:val="54E516BA"/>
    <w:rsid w:val="54E714E5"/>
    <w:rsid w:val="54F73313"/>
    <w:rsid w:val="54F80955"/>
    <w:rsid w:val="55102C57"/>
    <w:rsid w:val="555170A7"/>
    <w:rsid w:val="5587536D"/>
    <w:rsid w:val="559B174B"/>
    <w:rsid w:val="55CE0CF4"/>
    <w:rsid w:val="561F12FE"/>
    <w:rsid w:val="563B6ADC"/>
    <w:rsid w:val="56B22A9C"/>
    <w:rsid w:val="56D83A01"/>
    <w:rsid w:val="57187D26"/>
    <w:rsid w:val="572047E9"/>
    <w:rsid w:val="572C1E68"/>
    <w:rsid w:val="573D17BB"/>
    <w:rsid w:val="57B72A76"/>
    <w:rsid w:val="57C3426C"/>
    <w:rsid w:val="57C63810"/>
    <w:rsid w:val="57CE1F93"/>
    <w:rsid w:val="57E042BB"/>
    <w:rsid w:val="57E62C7A"/>
    <w:rsid w:val="57FF1A49"/>
    <w:rsid w:val="586E7127"/>
    <w:rsid w:val="588743D1"/>
    <w:rsid w:val="5887701A"/>
    <w:rsid w:val="589E02D5"/>
    <w:rsid w:val="58B92541"/>
    <w:rsid w:val="58BC69CF"/>
    <w:rsid w:val="59216481"/>
    <w:rsid w:val="59424293"/>
    <w:rsid w:val="595F72A0"/>
    <w:rsid w:val="5978473E"/>
    <w:rsid w:val="5997731E"/>
    <w:rsid w:val="599D3959"/>
    <w:rsid w:val="59C0439F"/>
    <w:rsid w:val="59E56F45"/>
    <w:rsid w:val="59F048C6"/>
    <w:rsid w:val="5A0C1EE5"/>
    <w:rsid w:val="5A524B01"/>
    <w:rsid w:val="5A9009D2"/>
    <w:rsid w:val="5ABE2233"/>
    <w:rsid w:val="5AF34ED0"/>
    <w:rsid w:val="5B10603A"/>
    <w:rsid w:val="5B6625CF"/>
    <w:rsid w:val="5BDA19DD"/>
    <w:rsid w:val="5BDF5D95"/>
    <w:rsid w:val="5BFE7528"/>
    <w:rsid w:val="5C1219E1"/>
    <w:rsid w:val="5C5D14B8"/>
    <w:rsid w:val="5CA5005D"/>
    <w:rsid w:val="5CAE48E0"/>
    <w:rsid w:val="5CBE70CD"/>
    <w:rsid w:val="5CCC577F"/>
    <w:rsid w:val="5CCE1164"/>
    <w:rsid w:val="5D1851DD"/>
    <w:rsid w:val="5D191420"/>
    <w:rsid w:val="5D2D35B3"/>
    <w:rsid w:val="5D4352DC"/>
    <w:rsid w:val="5D4F2581"/>
    <w:rsid w:val="5D611346"/>
    <w:rsid w:val="5D9F1DED"/>
    <w:rsid w:val="5DD10D6F"/>
    <w:rsid w:val="5E2467F1"/>
    <w:rsid w:val="5E575246"/>
    <w:rsid w:val="5E5D4FB5"/>
    <w:rsid w:val="5E656409"/>
    <w:rsid w:val="5E7A0F54"/>
    <w:rsid w:val="5E8A076B"/>
    <w:rsid w:val="5E951265"/>
    <w:rsid w:val="5EDD4A1E"/>
    <w:rsid w:val="5F1A2B43"/>
    <w:rsid w:val="5F491C12"/>
    <w:rsid w:val="5F4F4B0A"/>
    <w:rsid w:val="5F6661AD"/>
    <w:rsid w:val="5F8B538B"/>
    <w:rsid w:val="5FB837BB"/>
    <w:rsid w:val="5FB94E89"/>
    <w:rsid w:val="600744DB"/>
    <w:rsid w:val="60265103"/>
    <w:rsid w:val="60906602"/>
    <w:rsid w:val="60977D4C"/>
    <w:rsid w:val="60A7616F"/>
    <w:rsid w:val="60C40CB7"/>
    <w:rsid w:val="60C81F49"/>
    <w:rsid w:val="60CC405A"/>
    <w:rsid w:val="60E673AF"/>
    <w:rsid w:val="60E80751"/>
    <w:rsid w:val="60EC3887"/>
    <w:rsid w:val="60F23EFB"/>
    <w:rsid w:val="60F56C67"/>
    <w:rsid w:val="60FD5758"/>
    <w:rsid w:val="61382315"/>
    <w:rsid w:val="61DC6D71"/>
    <w:rsid w:val="61E215D8"/>
    <w:rsid w:val="621B3775"/>
    <w:rsid w:val="62265F1F"/>
    <w:rsid w:val="62341E34"/>
    <w:rsid w:val="62356C42"/>
    <w:rsid w:val="62364782"/>
    <w:rsid w:val="62460D5D"/>
    <w:rsid w:val="6258314A"/>
    <w:rsid w:val="627C1941"/>
    <w:rsid w:val="627C7800"/>
    <w:rsid w:val="627E5269"/>
    <w:rsid w:val="628975C5"/>
    <w:rsid w:val="636A6175"/>
    <w:rsid w:val="63736944"/>
    <w:rsid w:val="63867A9D"/>
    <w:rsid w:val="6394356A"/>
    <w:rsid w:val="63C61B2C"/>
    <w:rsid w:val="63D40BE9"/>
    <w:rsid w:val="64102431"/>
    <w:rsid w:val="643904E7"/>
    <w:rsid w:val="643B15B9"/>
    <w:rsid w:val="645B7788"/>
    <w:rsid w:val="649B674B"/>
    <w:rsid w:val="649C0B18"/>
    <w:rsid w:val="64A5243A"/>
    <w:rsid w:val="64C23AE9"/>
    <w:rsid w:val="64E32A70"/>
    <w:rsid w:val="64F531DE"/>
    <w:rsid w:val="65373578"/>
    <w:rsid w:val="657A7B75"/>
    <w:rsid w:val="658B1C05"/>
    <w:rsid w:val="65CD5D44"/>
    <w:rsid w:val="65EE5FD9"/>
    <w:rsid w:val="660D5046"/>
    <w:rsid w:val="6659469E"/>
    <w:rsid w:val="66771136"/>
    <w:rsid w:val="66C337E7"/>
    <w:rsid w:val="66D25F52"/>
    <w:rsid w:val="66E66951"/>
    <w:rsid w:val="6706708F"/>
    <w:rsid w:val="670675B6"/>
    <w:rsid w:val="671F124A"/>
    <w:rsid w:val="672B6AFF"/>
    <w:rsid w:val="673166A4"/>
    <w:rsid w:val="677A33C6"/>
    <w:rsid w:val="67892B7C"/>
    <w:rsid w:val="67A148B0"/>
    <w:rsid w:val="67E31E0A"/>
    <w:rsid w:val="681F6961"/>
    <w:rsid w:val="68374809"/>
    <w:rsid w:val="68610A2F"/>
    <w:rsid w:val="68805514"/>
    <w:rsid w:val="688954CE"/>
    <w:rsid w:val="68A1354D"/>
    <w:rsid w:val="68C75A79"/>
    <w:rsid w:val="68CC30F8"/>
    <w:rsid w:val="69042CA1"/>
    <w:rsid w:val="690901CC"/>
    <w:rsid w:val="690F0496"/>
    <w:rsid w:val="69111DF5"/>
    <w:rsid w:val="69221D4C"/>
    <w:rsid w:val="69316E2F"/>
    <w:rsid w:val="693376BF"/>
    <w:rsid w:val="694E2071"/>
    <w:rsid w:val="69766163"/>
    <w:rsid w:val="697A3B33"/>
    <w:rsid w:val="699C1A51"/>
    <w:rsid w:val="699F4175"/>
    <w:rsid w:val="69A97E3B"/>
    <w:rsid w:val="69B74052"/>
    <w:rsid w:val="69D44760"/>
    <w:rsid w:val="6A255409"/>
    <w:rsid w:val="6A267FC8"/>
    <w:rsid w:val="6A2B2B65"/>
    <w:rsid w:val="6A323A90"/>
    <w:rsid w:val="6A4429D4"/>
    <w:rsid w:val="6A520EC7"/>
    <w:rsid w:val="6A980C99"/>
    <w:rsid w:val="6AF87E20"/>
    <w:rsid w:val="6B322639"/>
    <w:rsid w:val="6BA012FB"/>
    <w:rsid w:val="6BB90F67"/>
    <w:rsid w:val="6BC175D1"/>
    <w:rsid w:val="6BC21E6E"/>
    <w:rsid w:val="6BCD1DFF"/>
    <w:rsid w:val="6BD953F8"/>
    <w:rsid w:val="6BED64C6"/>
    <w:rsid w:val="6BF210FF"/>
    <w:rsid w:val="6C354BE3"/>
    <w:rsid w:val="6C4531E7"/>
    <w:rsid w:val="6C636C38"/>
    <w:rsid w:val="6C7A7704"/>
    <w:rsid w:val="6C7F6C7B"/>
    <w:rsid w:val="6C823765"/>
    <w:rsid w:val="6D2C5D14"/>
    <w:rsid w:val="6D351168"/>
    <w:rsid w:val="6DB34098"/>
    <w:rsid w:val="6DB545B6"/>
    <w:rsid w:val="6DBD0E0D"/>
    <w:rsid w:val="6DE02FB4"/>
    <w:rsid w:val="6E491D5D"/>
    <w:rsid w:val="6E4F0DF9"/>
    <w:rsid w:val="6E514CED"/>
    <w:rsid w:val="6EB563D5"/>
    <w:rsid w:val="6ED92677"/>
    <w:rsid w:val="6EF2128E"/>
    <w:rsid w:val="6F225983"/>
    <w:rsid w:val="6F513A2D"/>
    <w:rsid w:val="6F761072"/>
    <w:rsid w:val="6F9A2A97"/>
    <w:rsid w:val="6FA31C46"/>
    <w:rsid w:val="6FCF2EC3"/>
    <w:rsid w:val="6FFC5590"/>
    <w:rsid w:val="70095545"/>
    <w:rsid w:val="706D1DD0"/>
    <w:rsid w:val="70856B87"/>
    <w:rsid w:val="70CC19C5"/>
    <w:rsid w:val="70D527EE"/>
    <w:rsid w:val="715B5300"/>
    <w:rsid w:val="71642E02"/>
    <w:rsid w:val="716615CA"/>
    <w:rsid w:val="716C5E59"/>
    <w:rsid w:val="71A90121"/>
    <w:rsid w:val="71A92603"/>
    <w:rsid w:val="71C72A98"/>
    <w:rsid w:val="71D27F8A"/>
    <w:rsid w:val="71F45DB0"/>
    <w:rsid w:val="721F514C"/>
    <w:rsid w:val="72553024"/>
    <w:rsid w:val="725C36D7"/>
    <w:rsid w:val="725F0326"/>
    <w:rsid w:val="726608A1"/>
    <w:rsid w:val="726C6B7B"/>
    <w:rsid w:val="727B779A"/>
    <w:rsid w:val="72AA7672"/>
    <w:rsid w:val="72B629AE"/>
    <w:rsid w:val="72BB5E2B"/>
    <w:rsid w:val="72DB36EB"/>
    <w:rsid w:val="72E4384F"/>
    <w:rsid w:val="73122968"/>
    <w:rsid w:val="7319373A"/>
    <w:rsid w:val="731F5D5E"/>
    <w:rsid w:val="73454CF0"/>
    <w:rsid w:val="73610D05"/>
    <w:rsid w:val="73761542"/>
    <w:rsid w:val="737949FD"/>
    <w:rsid w:val="738241DD"/>
    <w:rsid w:val="73C51AD5"/>
    <w:rsid w:val="73E03A38"/>
    <w:rsid w:val="741E793C"/>
    <w:rsid w:val="745E3944"/>
    <w:rsid w:val="74A0673B"/>
    <w:rsid w:val="74A1161E"/>
    <w:rsid w:val="74D96EAB"/>
    <w:rsid w:val="750B1D5B"/>
    <w:rsid w:val="754047AE"/>
    <w:rsid w:val="75593167"/>
    <w:rsid w:val="757235DC"/>
    <w:rsid w:val="75A145D7"/>
    <w:rsid w:val="75AE16EA"/>
    <w:rsid w:val="75D749B5"/>
    <w:rsid w:val="75E11409"/>
    <w:rsid w:val="75E4007E"/>
    <w:rsid w:val="7635099D"/>
    <w:rsid w:val="764D5D05"/>
    <w:rsid w:val="76C54FA2"/>
    <w:rsid w:val="773B0C2D"/>
    <w:rsid w:val="775C65B3"/>
    <w:rsid w:val="77762421"/>
    <w:rsid w:val="77847A66"/>
    <w:rsid w:val="779827CA"/>
    <w:rsid w:val="77B15DCD"/>
    <w:rsid w:val="77B56B1F"/>
    <w:rsid w:val="77C10F8E"/>
    <w:rsid w:val="77E96907"/>
    <w:rsid w:val="780F09F4"/>
    <w:rsid w:val="783422F1"/>
    <w:rsid w:val="78787A55"/>
    <w:rsid w:val="787D4AFC"/>
    <w:rsid w:val="7892546A"/>
    <w:rsid w:val="78A90480"/>
    <w:rsid w:val="7920055F"/>
    <w:rsid w:val="792A78BF"/>
    <w:rsid w:val="79314295"/>
    <w:rsid w:val="79452804"/>
    <w:rsid w:val="79461626"/>
    <w:rsid w:val="79933905"/>
    <w:rsid w:val="79954DB6"/>
    <w:rsid w:val="79B759E3"/>
    <w:rsid w:val="79B83386"/>
    <w:rsid w:val="79CA6F82"/>
    <w:rsid w:val="7A140C39"/>
    <w:rsid w:val="7A1454F7"/>
    <w:rsid w:val="7A206127"/>
    <w:rsid w:val="7A2D4631"/>
    <w:rsid w:val="7A364017"/>
    <w:rsid w:val="7A3C5A1C"/>
    <w:rsid w:val="7A4E0EA9"/>
    <w:rsid w:val="7A5F5C3D"/>
    <w:rsid w:val="7A61422D"/>
    <w:rsid w:val="7A8265E1"/>
    <w:rsid w:val="7A9602C7"/>
    <w:rsid w:val="7AFC79CC"/>
    <w:rsid w:val="7B3A6808"/>
    <w:rsid w:val="7B445598"/>
    <w:rsid w:val="7B532940"/>
    <w:rsid w:val="7B61154C"/>
    <w:rsid w:val="7B686D42"/>
    <w:rsid w:val="7B841746"/>
    <w:rsid w:val="7BC63FE1"/>
    <w:rsid w:val="7BE443C3"/>
    <w:rsid w:val="7BE56CDB"/>
    <w:rsid w:val="7C5D60D5"/>
    <w:rsid w:val="7C5D64AA"/>
    <w:rsid w:val="7C6B66BE"/>
    <w:rsid w:val="7C6C5AC7"/>
    <w:rsid w:val="7C824F62"/>
    <w:rsid w:val="7C911477"/>
    <w:rsid w:val="7C926ED7"/>
    <w:rsid w:val="7CB176C7"/>
    <w:rsid w:val="7CB54128"/>
    <w:rsid w:val="7CC4280E"/>
    <w:rsid w:val="7CC6544B"/>
    <w:rsid w:val="7CE96622"/>
    <w:rsid w:val="7CF06A24"/>
    <w:rsid w:val="7D0239FF"/>
    <w:rsid w:val="7D276A6F"/>
    <w:rsid w:val="7D465634"/>
    <w:rsid w:val="7D575641"/>
    <w:rsid w:val="7D5E40CD"/>
    <w:rsid w:val="7D87202C"/>
    <w:rsid w:val="7D9646CB"/>
    <w:rsid w:val="7DBE7C13"/>
    <w:rsid w:val="7DBF4025"/>
    <w:rsid w:val="7DCD56F2"/>
    <w:rsid w:val="7E0733F5"/>
    <w:rsid w:val="7EA41D49"/>
    <w:rsid w:val="7EDF0CF1"/>
    <w:rsid w:val="7F001CE7"/>
    <w:rsid w:val="7F3B4503"/>
    <w:rsid w:val="7F6646B8"/>
    <w:rsid w:val="7FDE1113"/>
    <w:rsid w:val="7FE47E50"/>
    <w:rsid w:val="7FF60AAF"/>
    <w:rsid w:val="7FFB31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000000" joinstyle="miter"/>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9"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qFormat="1"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qFormat="1" w:unhideWhenUsed="0" w:uiPriority="0" w:semiHidden="0" w:name="Block Text" w:locked="1"/>
    <w:lsdException w:qFormat="1" w:unhideWhenUsed="0" w:uiPriority="99"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unhideWhenUsed/>
    <w:qFormat/>
    <w:locked/>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locked/>
    <w:uiPriority w:val="0"/>
    <w:pPr>
      <w:keepNext/>
      <w:keepLines/>
      <w:spacing w:before="260" w:after="260" w:line="416" w:lineRule="auto"/>
      <w:outlineLvl w:val="2"/>
    </w:pPr>
    <w:rPr>
      <w:b/>
      <w:bCs/>
      <w:sz w:val="32"/>
      <w:szCs w:val="32"/>
    </w:rPr>
  </w:style>
  <w:style w:type="character" w:default="1" w:styleId="32">
    <w:name w:val="Default Paragraph Font"/>
    <w:semiHidden/>
    <w:qFormat/>
    <w:uiPriority w:val="0"/>
  </w:style>
  <w:style w:type="table" w:default="1" w:styleId="30">
    <w:name w:val="Normal Table"/>
    <w:semiHidden/>
    <w:qFormat/>
    <w:uiPriority w:val="0"/>
    <w:tblPr>
      <w:tblLayout w:type="fixed"/>
      <w:tblCellMar>
        <w:top w:w="0" w:type="dxa"/>
        <w:left w:w="108" w:type="dxa"/>
        <w:bottom w:w="0" w:type="dxa"/>
        <w:right w:w="108" w:type="dxa"/>
      </w:tblCellMar>
    </w:tblPr>
  </w:style>
  <w:style w:type="paragraph" w:styleId="2">
    <w:name w:val="toc 2"/>
    <w:basedOn w:val="1"/>
    <w:next w:val="1"/>
    <w:qFormat/>
    <w:locked/>
    <w:uiPriority w:val="0"/>
    <w:pPr>
      <w:ind w:left="420" w:leftChars="200"/>
    </w:pPr>
  </w:style>
  <w:style w:type="paragraph" w:styleId="6">
    <w:name w:val="Normal Indent"/>
    <w:basedOn w:val="1"/>
    <w:qFormat/>
    <w:locked/>
    <w:uiPriority w:val="0"/>
    <w:pPr>
      <w:ind w:firstLine="420"/>
    </w:pPr>
    <w:rPr>
      <w:szCs w:val="21"/>
      <w:u w:val="none" w:color="000000"/>
    </w:rPr>
  </w:style>
  <w:style w:type="paragraph" w:styleId="7">
    <w:name w:val="annotation text"/>
    <w:basedOn w:val="1"/>
    <w:next w:val="8"/>
    <w:link w:val="39"/>
    <w:semiHidden/>
    <w:qFormat/>
    <w:uiPriority w:val="0"/>
    <w:pPr>
      <w:jc w:val="left"/>
    </w:pPr>
    <w:rPr>
      <w:kern w:val="0"/>
      <w:sz w:val="24"/>
      <w:szCs w:val="20"/>
    </w:rPr>
  </w:style>
  <w:style w:type="paragraph" w:styleId="8">
    <w:name w:val="Body Text Indent 3"/>
    <w:basedOn w:val="1"/>
    <w:next w:val="9"/>
    <w:qFormat/>
    <w:locked/>
    <w:uiPriority w:val="0"/>
    <w:pPr>
      <w:spacing w:after="120"/>
      <w:ind w:left="420" w:leftChars="200"/>
    </w:pPr>
    <w:rPr>
      <w:sz w:val="16"/>
      <w:szCs w:val="16"/>
    </w:rPr>
  </w:style>
  <w:style w:type="paragraph" w:styleId="9">
    <w:name w:val="Balloon Text"/>
    <w:basedOn w:val="1"/>
    <w:next w:val="10"/>
    <w:link w:val="43"/>
    <w:semiHidden/>
    <w:qFormat/>
    <w:uiPriority w:val="0"/>
    <w:rPr>
      <w:kern w:val="0"/>
      <w:sz w:val="18"/>
      <w:szCs w:val="20"/>
    </w:rPr>
  </w:style>
  <w:style w:type="paragraph" w:styleId="10">
    <w:name w:val="Block Text"/>
    <w:basedOn w:val="1"/>
    <w:next w:val="1"/>
    <w:qFormat/>
    <w:locked/>
    <w:uiPriority w:val="0"/>
    <w:pPr>
      <w:spacing w:line="240" w:lineRule="auto"/>
      <w:ind w:left="113" w:right="113" w:firstLine="3584"/>
      <w:jc w:val="center"/>
    </w:pPr>
  </w:style>
  <w:style w:type="paragraph" w:styleId="11">
    <w:name w:val="Body Text"/>
    <w:basedOn w:val="1"/>
    <w:next w:val="12"/>
    <w:link w:val="40"/>
    <w:qFormat/>
    <w:uiPriority w:val="0"/>
    <w:pPr>
      <w:widowControl/>
      <w:snapToGrid w:val="0"/>
      <w:spacing w:before="60" w:after="160" w:line="259" w:lineRule="auto"/>
      <w:ind w:right="113"/>
    </w:pPr>
    <w:rPr>
      <w:kern w:val="0"/>
      <w:sz w:val="18"/>
      <w:szCs w:val="20"/>
    </w:rPr>
  </w:style>
  <w:style w:type="paragraph" w:customStyle="1" w:styleId="12">
    <w:name w:val="Normal (Web)1"/>
    <w:basedOn w:val="1"/>
    <w:next w:val="13"/>
    <w:qFormat/>
    <w:uiPriority w:val="0"/>
    <w:pPr>
      <w:widowControl/>
      <w:jc w:val="left"/>
    </w:pPr>
    <w:rPr>
      <w:rFonts w:ascii="宋体" w:cs="Times New Roman"/>
      <w:kern w:val="0"/>
      <w:sz w:val="24"/>
      <w:szCs w:val="21"/>
    </w:rPr>
  </w:style>
  <w:style w:type="paragraph" w:customStyle="1" w:styleId="13">
    <w:name w:val="Date1"/>
    <w:basedOn w:val="1"/>
    <w:next w:val="1"/>
    <w:qFormat/>
    <w:uiPriority w:val="0"/>
    <w:pPr>
      <w:ind w:left="2500" w:leftChars="2500"/>
    </w:pPr>
  </w:style>
  <w:style w:type="paragraph" w:styleId="14">
    <w:name w:val="Body Text Indent"/>
    <w:basedOn w:val="1"/>
    <w:next w:val="15"/>
    <w:link w:val="41"/>
    <w:qFormat/>
    <w:uiPriority w:val="0"/>
    <w:pPr>
      <w:spacing w:after="120"/>
      <w:ind w:left="420" w:leftChars="200"/>
    </w:pPr>
    <w:rPr>
      <w:kern w:val="0"/>
      <w:sz w:val="24"/>
      <w:szCs w:val="20"/>
    </w:rPr>
  </w:style>
  <w:style w:type="paragraph" w:styleId="15">
    <w:name w:val="header"/>
    <w:basedOn w:val="1"/>
    <w:next w:val="16"/>
    <w:link w:val="45"/>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16">
    <w:name w:val="样式5"/>
    <w:basedOn w:val="1"/>
    <w:qFormat/>
    <w:uiPriority w:val="0"/>
    <w:pPr>
      <w:spacing w:before="0" w:after="0" w:line="380" w:lineRule="exact"/>
      <w:ind w:firstLine="566" w:firstLineChars="202"/>
    </w:pPr>
    <w:rPr>
      <w:rFonts w:eastAsia="华文行楷"/>
    </w:rPr>
  </w:style>
  <w:style w:type="paragraph" w:styleId="17">
    <w:name w:val="Plain Text"/>
    <w:basedOn w:val="1"/>
    <w:qFormat/>
    <w:locked/>
    <w:uiPriority w:val="0"/>
    <w:rPr>
      <w:rFonts w:ascii="宋体" w:hAnsi="Courier New" w:eastAsia="仿宋_GB2312"/>
      <w:sz w:val="28"/>
      <w:szCs w:val="20"/>
    </w:rPr>
  </w:style>
  <w:style w:type="paragraph" w:styleId="18">
    <w:name w:val="List Bullet 5"/>
    <w:basedOn w:val="1"/>
    <w:qFormat/>
    <w:locked/>
    <w:uiPriority w:val="0"/>
    <w:pPr>
      <w:numPr>
        <w:ilvl w:val="0"/>
        <w:numId w:val="1"/>
      </w:numPr>
    </w:pPr>
  </w:style>
  <w:style w:type="paragraph" w:styleId="19">
    <w:name w:val="Date"/>
    <w:basedOn w:val="1"/>
    <w:next w:val="1"/>
    <w:link w:val="42"/>
    <w:qFormat/>
    <w:uiPriority w:val="0"/>
    <w:pPr>
      <w:ind w:left="100" w:leftChars="2500"/>
    </w:pPr>
    <w:rPr>
      <w:kern w:val="0"/>
      <w:sz w:val="24"/>
      <w:szCs w:val="20"/>
    </w:rPr>
  </w:style>
  <w:style w:type="paragraph" w:styleId="20">
    <w:name w:val="Body Text Indent 2"/>
    <w:basedOn w:val="1"/>
    <w:qFormat/>
    <w:locked/>
    <w:uiPriority w:val="0"/>
    <w:pPr>
      <w:spacing w:after="120" w:afterLines="0" w:line="480" w:lineRule="auto"/>
      <w:ind w:left="420" w:leftChars="200"/>
    </w:pPr>
    <w:rPr>
      <w:kern w:val="0"/>
      <w:sz w:val="28"/>
      <w:szCs w:val="20"/>
    </w:rPr>
  </w:style>
  <w:style w:type="paragraph" w:styleId="21">
    <w:name w:val="footer"/>
    <w:basedOn w:val="1"/>
    <w:link w:val="44"/>
    <w:qFormat/>
    <w:uiPriority w:val="99"/>
    <w:pPr>
      <w:tabs>
        <w:tab w:val="center" w:pos="4153"/>
        <w:tab w:val="right" w:pos="8306"/>
      </w:tabs>
      <w:snapToGrid w:val="0"/>
      <w:jc w:val="left"/>
    </w:pPr>
    <w:rPr>
      <w:kern w:val="0"/>
      <w:sz w:val="18"/>
      <w:szCs w:val="20"/>
    </w:rPr>
  </w:style>
  <w:style w:type="paragraph" w:styleId="22">
    <w:name w:val="toc 1"/>
    <w:basedOn w:val="1"/>
    <w:next w:val="1"/>
    <w:qFormat/>
    <w:locked/>
    <w:uiPriority w:val="39"/>
  </w:style>
  <w:style w:type="paragraph" w:styleId="23">
    <w:name w:val="List"/>
    <w:basedOn w:val="1"/>
    <w:qFormat/>
    <w:locked/>
    <w:uiPriority w:val="0"/>
    <w:pPr>
      <w:jc w:val="center"/>
    </w:pPr>
    <w:rPr>
      <w:kern w:val="0"/>
      <w:szCs w:val="20"/>
    </w:rPr>
  </w:style>
  <w:style w:type="paragraph" w:styleId="24">
    <w:name w:val="Message Header"/>
    <w:basedOn w:val="1"/>
    <w:qFormat/>
    <w:locked/>
    <w:uiPriority w:val="0"/>
    <w:pPr>
      <w:pBdr>
        <w:top w:val="single" w:color="auto" w:sz="6" w:space="1"/>
        <w:left w:val="single" w:color="auto" w:sz="6" w:space="1"/>
        <w:bottom w:val="single" w:color="auto" w:sz="6" w:space="1"/>
        <w:right w:val="single" w:color="auto" w:sz="6" w:space="1"/>
      </w:pBdr>
      <w:shd w:val="pct20" w:color="auto" w:fill="auto"/>
      <w:spacing w:line="240" w:lineRule="auto"/>
      <w:ind w:left="1080" w:leftChars="500" w:hanging="1080" w:hangingChars="500"/>
    </w:pPr>
    <w:rPr>
      <w:rFonts w:ascii="Arial" w:hAnsi="Arial" w:cs="Arial"/>
      <w:szCs w:val="24"/>
      <w:shd w:val="pct20" w:color="auto" w:fill="auto"/>
    </w:rPr>
  </w:style>
  <w:style w:type="paragraph" w:styleId="25">
    <w:name w:val="Normal (Web)"/>
    <w:basedOn w:val="1"/>
    <w:link w:val="46"/>
    <w:qFormat/>
    <w:uiPriority w:val="0"/>
    <w:pPr>
      <w:widowControl/>
      <w:spacing w:before="100" w:beforeAutospacing="1" w:after="100" w:afterAutospacing="1"/>
      <w:jc w:val="left"/>
    </w:pPr>
    <w:rPr>
      <w:rFonts w:ascii="宋体" w:hAnsi="宋体"/>
      <w:kern w:val="0"/>
      <w:sz w:val="24"/>
      <w:szCs w:val="20"/>
    </w:rPr>
  </w:style>
  <w:style w:type="paragraph" w:styleId="26">
    <w:name w:val="annotation subject"/>
    <w:basedOn w:val="7"/>
    <w:next w:val="7"/>
    <w:link w:val="47"/>
    <w:semiHidden/>
    <w:qFormat/>
    <w:uiPriority w:val="0"/>
    <w:rPr>
      <w:b/>
      <w:sz w:val="24"/>
      <w:szCs w:val="20"/>
    </w:rPr>
  </w:style>
  <w:style w:type="paragraph" w:styleId="27">
    <w:name w:val="Body Text First Indent"/>
    <w:basedOn w:val="1"/>
    <w:next w:val="28"/>
    <w:qFormat/>
    <w:locked/>
    <w:uiPriority w:val="0"/>
    <w:pPr>
      <w:ind w:firstLine="420" w:firstLineChars="100"/>
    </w:pPr>
  </w:style>
  <w:style w:type="paragraph" w:customStyle="1" w:styleId="28">
    <w:name w:val="样式 正文首行缩进 + 首行缩进:  2 字符1"/>
    <w:basedOn w:val="1"/>
    <w:next w:val="22"/>
    <w:qFormat/>
    <w:uiPriority w:val="0"/>
    <w:pPr>
      <w:spacing w:line="360" w:lineRule="auto"/>
      <w:ind w:firstLine="480" w:firstLineChars="200"/>
    </w:pPr>
    <w:rPr>
      <w:sz w:val="24"/>
    </w:rPr>
  </w:style>
  <w:style w:type="paragraph" w:styleId="29">
    <w:name w:val="Body Text First Indent 2"/>
    <w:basedOn w:val="14"/>
    <w:next w:val="1"/>
    <w:qFormat/>
    <w:locked/>
    <w:uiPriority w:val="0"/>
    <w:pPr>
      <w:ind w:firstLine="420" w:firstLineChars="200"/>
    </w:pPr>
  </w:style>
  <w:style w:type="table" w:styleId="31">
    <w:name w:val="Table Grid"/>
    <w:basedOn w:val="30"/>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33">
    <w:name w:val="page number"/>
    <w:basedOn w:val="32"/>
    <w:qFormat/>
    <w:locked/>
    <w:uiPriority w:val="0"/>
  </w:style>
  <w:style w:type="character" w:styleId="34">
    <w:name w:val="Hyperlink"/>
    <w:qFormat/>
    <w:locked/>
    <w:uiPriority w:val="99"/>
    <w:rPr>
      <w:color w:val="3366CC"/>
      <w:u w:val="single"/>
    </w:rPr>
  </w:style>
  <w:style w:type="character" w:styleId="35">
    <w:name w:val="annotation reference"/>
    <w:semiHidden/>
    <w:qFormat/>
    <w:uiPriority w:val="0"/>
    <w:rPr>
      <w:sz w:val="21"/>
    </w:rPr>
  </w:style>
  <w:style w:type="paragraph" w:customStyle="1" w:styleId="36">
    <w:name w:val="Default"/>
    <w:basedOn w:val="37"/>
    <w:next w:val="1"/>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7">
    <w:name w:val="纯文本1"/>
    <w:qFormat/>
    <w:uiPriority w:val="0"/>
    <w:pPr>
      <w:adjustRightInd w:val="0"/>
      <w:jc w:val="center"/>
      <w:textAlignment w:val="baseline"/>
    </w:pPr>
    <w:rPr>
      <w:rFonts w:ascii="宋体" w:hAnsi="Courier New" w:eastAsia="宋体" w:cs="Times New Roman"/>
      <w:sz w:val="24"/>
      <w:lang w:val="en-US" w:eastAsia="zh-CN" w:bidi="ar-SA"/>
    </w:rPr>
  </w:style>
  <w:style w:type="paragraph" w:customStyle="1" w:styleId="38">
    <w:name w:val="11111"/>
    <w:basedOn w:val="1"/>
    <w:next w:val="1"/>
    <w:qFormat/>
    <w:uiPriority w:val="99"/>
    <w:pPr>
      <w:spacing w:line="360" w:lineRule="auto"/>
      <w:ind w:firstLine="200" w:firstLineChars="200"/>
    </w:pPr>
    <w:rPr>
      <w:rFonts w:ascii="宋体" w:hAnsi="宋体" w:cs="宋体"/>
      <w:sz w:val="24"/>
      <w:szCs w:val="24"/>
    </w:rPr>
  </w:style>
  <w:style w:type="character" w:customStyle="1" w:styleId="39">
    <w:name w:val="批注文字 Char"/>
    <w:link w:val="7"/>
    <w:qFormat/>
    <w:locked/>
    <w:uiPriority w:val="0"/>
    <w:rPr>
      <w:rFonts w:ascii="Times New Roman" w:hAnsi="Times New Roman" w:eastAsia="宋体"/>
      <w:sz w:val="24"/>
    </w:rPr>
  </w:style>
  <w:style w:type="character" w:customStyle="1" w:styleId="40">
    <w:name w:val="正文文本 Char"/>
    <w:link w:val="11"/>
    <w:qFormat/>
    <w:locked/>
    <w:uiPriority w:val="0"/>
    <w:rPr>
      <w:sz w:val="18"/>
    </w:rPr>
  </w:style>
  <w:style w:type="character" w:customStyle="1" w:styleId="41">
    <w:name w:val="正文文本缩进 Char"/>
    <w:link w:val="14"/>
    <w:semiHidden/>
    <w:qFormat/>
    <w:locked/>
    <w:uiPriority w:val="0"/>
    <w:rPr>
      <w:rFonts w:ascii="Times New Roman" w:hAnsi="Times New Roman" w:eastAsia="宋体"/>
      <w:sz w:val="24"/>
    </w:rPr>
  </w:style>
  <w:style w:type="character" w:customStyle="1" w:styleId="42">
    <w:name w:val="日期 Char"/>
    <w:link w:val="19"/>
    <w:qFormat/>
    <w:locked/>
    <w:uiPriority w:val="0"/>
    <w:rPr>
      <w:rFonts w:ascii="Times New Roman" w:hAnsi="Times New Roman" w:eastAsia="宋体"/>
      <w:sz w:val="24"/>
    </w:rPr>
  </w:style>
  <w:style w:type="character" w:customStyle="1" w:styleId="43">
    <w:name w:val="批注框文本 Char"/>
    <w:link w:val="9"/>
    <w:semiHidden/>
    <w:qFormat/>
    <w:locked/>
    <w:uiPriority w:val="0"/>
    <w:rPr>
      <w:rFonts w:ascii="Times New Roman" w:hAnsi="Times New Roman" w:eastAsia="宋体"/>
      <w:sz w:val="18"/>
    </w:rPr>
  </w:style>
  <w:style w:type="character" w:customStyle="1" w:styleId="44">
    <w:name w:val="页脚 Char"/>
    <w:link w:val="21"/>
    <w:qFormat/>
    <w:locked/>
    <w:uiPriority w:val="99"/>
    <w:rPr>
      <w:sz w:val="18"/>
    </w:rPr>
  </w:style>
  <w:style w:type="character" w:customStyle="1" w:styleId="45">
    <w:name w:val="页眉 Char"/>
    <w:link w:val="15"/>
    <w:qFormat/>
    <w:locked/>
    <w:uiPriority w:val="0"/>
    <w:rPr>
      <w:sz w:val="18"/>
    </w:rPr>
  </w:style>
  <w:style w:type="character" w:customStyle="1" w:styleId="46">
    <w:name w:val="普通(网站) Char"/>
    <w:link w:val="25"/>
    <w:qFormat/>
    <w:locked/>
    <w:uiPriority w:val="0"/>
    <w:rPr>
      <w:rFonts w:ascii="宋体" w:hAnsi="宋体" w:eastAsia="宋体"/>
      <w:sz w:val="24"/>
    </w:rPr>
  </w:style>
  <w:style w:type="character" w:customStyle="1" w:styleId="47">
    <w:name w:val="批注主题 Char"/>
    <w:link w:val="26"/>
    <w:semiHidden/>
    <w:qFormat/>
    <w:locked/>
    <w:uiPriority w:val="0"/>
    <w:rPr>
      <w:rFonts w:ascii="Times New Roman" w:hAnsi="Times New Roman" w:eastAsia="宋体"/>
      <w:b/>
      <w:kern w:val="2"/>
      <w:sz w:val="24"/>
    </w:rPr>
  </w:style>
  <w:style w:type="paragraph" w:customStyle="1" w:styleId="48">
    <w:name w:val="【正文】"/>
    <w:basedOn w:val="1"/>
    <w:qFormat/>
    <w:uiPriority w:val="0"/>
    <w:pPr>
      <w:spacing w:line="440" w:lineRule="exact"/>
      <w:ind w:firstLine="544" w:firstLineChars="200"/>
    </w:pPr>
    <w:rPr>
      <w:rFonts w:ascii="Times New Roman" w:hAnsi="Times New Roman" w:eastAsia="Times New Roman" w:cs="Times New Roman"/>
      <w:sz w:val="24"/>
      <w:szCs w:val="20"/>
    </w:rPr>
  </w:style>
  <w:style w:type="character" w:customStyle="1" w:styleId="49">
    <w:name w:val="zhengwencolor1"/>
    <w:qFormat/>
    <w:uiPriority w:val="0"/>
    <w:rPr>
      <w:color w:val="000000"/>
      <w:sz w:val="18"/>
      <w:szCs w:val="18"/>
    </w:rPr>
  </w:style>
  <w:style w:type="character" w:customStyle="1" w:styleId="50">
    <w:name w:val="日期 字符"/>
    <w:semiHidden/>
    <w:qFormat/>
    <w:uiPriority w:val="0"/>
    <w:rPr>
      <w:rFonts w:ascii="Times New Roman" w:hAnsi="Times New Roman" w:eastAsia="宋体"/>
      <w:sz w:val="24"/>
    </w:rPr>
  </w:style>
  <w:style w:type="character" w:customStyle="1" w:styleId="51">
    <w:name w:val="表中文字 Char"/>
    <w:basedOn w:val="32"/>
    <w:link w:val="52"/>
    <w:qFormat/>
    <w:uiPriority w:val="0"/>
    <w:rPr>
      <w:rFonts w:ascii="Times New Roman" w:hAnsi="Times New Roman" w:cs="Times New Roman"/>
      <w:kern w:val="2"/>
      <w:sz w:val="21"/>
    </w:rPr>
  </w:style>
  <w:style w:type="paragraph" w:customStyle="1" w:styleId="52">
    <w:name w:val="表中文字"/>
    <w:basedOn w:val="1"/>
    <w:link w:val="51"/>
    <w:qFormat/>
    <w:uiPriority w:val="0"/>
    <w:pPr>
      <w:widowControl w:val="0"/>
      <w:spacing w:line="240" w:lineRule="auto"/>
      <w:ind w:firstLine="0" w:firstLineChars="0"/>
      <w:jc w:val="center"/>
    </w:pPr>
    <w:rPr>
      <w:rFonts w:ascii="Times New Roman" w:hAnsi="Times New Roman" w:cs="Times New Roman"/>
      <w:kern w:val="2"/>
      <w:sz w:val="21"/>
    </w:rPr>
  </w:style>
  <w:style w:type="character" w:customStyle="1" w:styleId="53">
    <w:name w:val="正文文本 字符1"/>
    <w:semiHidden/>
    <w:qFormat/>
    <w:uiPriority w:val="0"/>
    <w:rPr>
      <w:rFonts w:ascii="Times New Roman" w:hAnsi="Times New Roman" w:eastAsia="宋体"/>
      <w:sz w:val="24"/>
    </w:rPr>
  </w:style>
  <w:style w:type="character" w:customStyle="1" w:styleId="54">
    <w:name w:val="正文文本 (2) Exact"/>
    <w:unhideWhenUsed/>
    <w:qFormat/>
    <w:uiPriority w:val="99"/>
    <w:rPr>
      <w:rFonts w:hint="default" w:ascii="宋体" w:hAnsi="宋体" w:eastAsia="宋体"/>
      <w:sz w:val="22"/>
      <w:lang w:val="en-US" w:eastAsia="en-US"/>
    </w:rPr>
  </w:style>
  <w:style w:type="character" w:customStyle="1" w:styleId="55">
    <w:name w:val="页脚 字符"/>
    <w:basedOn w:val="32"/>
    <w:qFormat/>
    <w:uiPriority w:val="99"/>
  </w:style>
  <w:style w:type="character" w:customStyle="1" w:styleId="56">
    <w:name w:val="表格 Char"/>
    <w:link w:val="57"/>
    <w:qFormat/>
    <w:locked/>
    <w:uiPriority w:val="0"/>
    <w:rPr>
      <w:rFonts w:ascii="宋体"/>
      <w:sz w:val="21"/>
    </w:rPr>
  </w:style>
  <w:style w:type="paragraph" w:customStyle="1" w:styleId="57">
    <w:name w:val="表格"/>
    <w:basedOn w:val="1"/>
    <w:next w:val="1"/>
    <w:link w:val="56"/>
    <w:qFormat/>
    <w:uiPriority w:val="0"/>
    <w:pPr>
      <w:adjustRightInd w:val="0"/>
      <w:snapToGrid w:val="0"/>
      <w:spacing w:beforeLines="10" w:afterLines="10" w:line="259" w:lineRule="auto"/>
      <w:jc w:val="center"/>
    </w:pPr>
    <w:rPr>
      <w:rFonts w:ascii="宋体"/>
      <w:kern w:val="0"/>
      <w:szCs w:val="20"/>
    </w:rPr>
  </w:style>
  <w:style w:type="character" w:customStyle="1" w:styleId="58">
    <w:name w:val="批注文字 字符1"/>
    <w:semiHidden/>
    <w:qFormat/>
    <w:uiPriority w:val="0"/>
    <w:rPr>
      <w:rFonts w:ascii="Times New Roman" w:hAnsi="Times New Roman" w:eastAsia="宋体"/>
      <w:sz w:val="24"/>
    </w:rPr>
  </w:style>
  <w:style w:type="paragraph" w:customStyle="1" w:styleId="59">
    <w:name w:val="xl27"/>
    <w:basedOn w:val="1"/>
    <w:next w:val="20"/>
    <w:qFormat/>
    <w:uiPriority w:val="0"/>
    <w:pPr>
      <w:widowControl/>
      <w:pBdr>
        <w:bottom w:val="single" w:color="auto" w:sz="4" w:space="0"/>
        <w:right w:val="single" w:color="auto" w:sz="4" w:space="0"/>
      </w:pBdr>
      <w:spacing w:before="100" w:beforeAutospacing="1" w:after="100" w:afterAutospacing="1" w:line="240" w:lineRule="auto"/>
      <w:ind w:firstLine="0" w:firstLineChars="0"/>
      <w:jc w:val="center"/>
    </w:pPr>
    <w:rPr>
      <w:kern w:val="0"/>
      <w:szCs w:val="20"/>
    </w:rPr>
  </w:style>
  <w:style w:type="paragraph" w:customStyle="1" w:styleId="60">
    <w:name w:val="WPSOffice手动目录 1"/>
    <w:qFormat/>
    <w:uiPriority w:val="0"/>
    <w:pPr>
      <w:ind w:leftChars="0"/>
    </w:pPr>
    <w:rPr>
      <w:rFonts w:ascii="Times New Roman" w:hAnsi="Times New Roman" w:eastAsia="宋体" w:cs="Times New Roman"/>
      <w:sz w:val="20"/>
      <w:szCs w:val="20"/>
    </w:rPr>
  </w:style>
  <w:style w:type="paragraph" w:customStyle="1" w:styleId="61">
    <w:name w:val="正文格式"/>
    <w:basedOn w:val="1"/>
    <w:next w:val="1"/>
    <w:qFormat/>
    <w:uiPriority w:val="0"/>
    <w:pPr>
      <w:spacing w:line="360" w:lineRule="auto"/>
      <w:ind w:firstLine="482"/>
    </w:pPr>
    <w:rPr>
      <w:sz w:val="24"/>
      <w:szCs w:val="24"/>
    </w:rPr>
  </w:style>
  <w:style w:type="paragraph" w:customStyle="1" w:styleId="62">
    <w:name w:val="样式 Times New Roman 五号 居中1"/>
    <w:basedOn w:val="1"/>
    <w:next w:val="63"/>
    <w:qFormat/>
    <w:uiPriority w:val="99"/>
    <w:pPr>
      <w:jc w:val="center"/>
    </w:pPr>
    <w:rPr>
      <w:rFonts w:ascii="Times New Roman" w:hAnsi="Times New Roman" w:cs="宋体"/>
      <w:szCs w:val="21"/>
    </w:rPr>
  </w:style>
  <w:style w:type="paragraph" w:customStyle="1" w:styleId="63">
    <w:name w:val="表头"/>
    <w:basedOn w:val="23"/>
    <w:next w:val="1"/>
    <w:qFormat/>
    <w:uiPriority w:val="0"/>
    <w:pPr>
      <w:numPr>
        <w:ilvl w:val="0"/>
        <w:numId w:val="2"/>
      </w:numPr>
    </w:pPr>
    <w:rPr>
      <w:rFonts w:eastAsia="黑体"/>
    </w:rPr>
  </w:style>
  <w:style w:type="paragraph" w:customStyle="1" w:styleId="64">
    <w:name w:val="样式4"/>
    <w:basedOn w:val="1"/>
    <w:qFormat/>
    <w:uiPriority w:val="0"/>
    <w:pPr>
      <w:adjustRightInd w:val="0"/>
      <w:snapToGrid w:val="0"/>
      <w:jc w:val="center"/>
    </w:pPr>
    <w:rPr>
      <w:sz w:val="24"/>
      <w:szCs w:val="20"/>
    </w:rPr>
  </w:style>
  <w:style w:type="paragraph" w:customStyle="1" w:styleId="65">
    <w:name w:val="正文的"/>
    <w:basedOn w:val="1"/>
    <w:qFormat/>
    <w:uiPriority w:val="0"/>
    <w:pPr>
      <w:spacing w:line="360" w:lineRule="auto"/>
      <w:ind w:firstLine="480" w:firstLineChars="200"/>
    </w:pPr>
    <w:rPr>
      <w:rFonts w:ascii="宋体" w:hAnsi="Times New Roman" w:cs="Calibri"/>
      <w:kern w:val="0"/>
      <w:sz w:val="24"/>
      <w:szCs w:val="20"/>
    </w:rPr>
  </w:style>
  <w:style w:type="paragraph" w:customStyle="1" w:styleId="66">
    <w:name w:val="Char"/>
    <w:basedOn w:val="1"/>
    <w:qFormat/>
    <w:uiPriority w:val="0"/>
    <w:pPr>
      <w:snapToGrid w:val="0"/>
      <w:spacing w:line="440" w:lineRule="atLeast"/>
      <w:ind w:firstLine="200" w:firstLineChars="200"/>
    </w:pPr>
  </w:style>
  <w:style w:type="paragraph" w:customStyle="1" w:styleId="67">
    <w:name w:val="①JM表格 居中"/>
    <w:basedOn w:val="1"/>
    <w:next w:val="1"/>
    <w:qFormat/>
    <w:uiPriority w:val="0"/>
    <w:pPr>
      <w:spacing w:line="240" w:lineRule="auto"/>
      <w:ind w:firstLine="0" w:firstLineChars="0"/>
      <w:jc w:val="center"/>
    </w:pPr>
    <w:rPr>
      <w:rFonts w:ascii="Times New Roman" w:hAnsi="Times New Roman"/>
      <w:sz w:val="21"/>
    </w:rPr>
  </w:style>
  <w:style w:type="paragraph" w:customStyle="1" w:styleId="68">
    <w:name w:val="2表中文字"/>
    <w:qFormat/>
    <w:uiPriority w:val="0"/>
    <w:pPr>
      <w:jc w:val="center"/>
    </w:pPr>
    <w:rPr>
      <w:rFonts w:ascii="Calibri" w:hAnsi="Calibri" w:eastAsia="宋体" w:cs="Times New Roman"/>
      <w:kern w:val="2"/>
      <w:sz w:val="21"/>
      <w:szCs w:val="21"/>
      <w:lang w:val="en-US" w:eastAsia="zh-CN" w:bidi="ar-SA"/>
    </w:rPr>
  </w:style>
  <w:style w:type="paragraph" w:customStyle="1" w:styleId="69">
    <w:name w:val="报告书正文"/>
    <w:basedOn w:val="1"/>
    <w:qFormat/>
    <w:uiPriority w:val="0"/>
    <w:pPr>
      <w:adjustRightInd w:val="0"/>
      <w:snapToGrid w:val="0"/>
      <w:spacing w:line="360" w:lineRule="auto"/>
      <w:ind w:firstLine="425"/>
    </w:pPr>
    <w:rPr>
      <w:rFonts w:ascii="Arial" w:hAnsi="Arial" w:eastAsia="宋体" w:cs="Arial"/>
      <w:sz w:val="24"/>
    </w:rPr>
  </w:style>
  <w:style w:type="paragraph" w:customStyle="1" w:styleId="70">
    <w:name w:val="1黑体头"/>
    <w:basedOn w:val="1"/>
    <w:qFormat/>
    <w:uiPriority w:val="0"/>
    <w:pPr>
      <w:spacing w:line="360" w:lineRule="auto"/>
      <w:ind w:firstLine="479" w:firstLineChars="199"/>
      <w:jc w:val="left"/>
      <w:textAlignment w:val="center"/>
    </w:pPr>
    <w:rPr>
      <w:b/>
      <w:sz w:val="24"/>
    </w:rPr>
  </w:style>
  <w:style w:type="paragraph" w:customStyle="1" w:styleId="71">
    <w:name w:val="Char Char Char Char Char Char Char1"/>
    <w:basedOn w:val="1"/>
    <w:qFormat/>
    <w:uiPriority w:val="0"/>
    <w:pPr>
      <w:spacing w:line="360" w:lineRule="auto"/>
      <w:ind w:firstLine="200" w:firstLineChars="200"/>
    </w:pPr>
    <w:rPr>
      <w:rFonts w:ascii="宋体" w:hAnsi="宋体" w:cs="宋体"/>
      <w:sz w:val="24"/>
    </w:rPr>
  </w:style>
  <w:style w:type="paragraph" w:customStyle="1" w:styleId="72">
    <w:name w:val="②JM正文 顶格"/>
    <w:basedOn w:val="67"/>
    <w:next w:val="73"/>
    <w:qFormat/>
    <w:uiPriority w:val="0"/>
    <w:pPr>
      <w:jc w:val="left"/>
    </w:pPr>
  </w:style>
  <w:style w:type="paragraph" w:customStyle="1" w:styleId="73">
    <w:name w:val="②JM正文"/>
    <w:basedOn w:val="72"/>
    <w:qFormat/>
    <w:uiPriority w:val="0"/>
    <w:pPr>
      <w:ind w:firstLine="720" w:firstLineChars="200"/>
    </w:pPr>
  </w:style>
  <w:style w:type="paragraph" w:customStyle="1" w:styleId="74">
    <w:name w:val="【表中文字】"/>
    <w:basedOn w:val="1"/>
    <w:qFormat/>
    <w:uiPriority w:val="0"/>
    <w:pPr>
      <w:adjustRightInd w:val="0"/>
      <w:snapToGrid w:val="0"/>
      <w:jc w:val="center"/>
    </w:pPr>
    <w:rPr>
      <w:rFonts w:ascii="Times New Roman" w:hAnsi="Times New Roman"/>
      <w:szCs w:val="20"/>
    </w:rPr>
  </w:style>
  <w:style w:type="paragraph" w:customStyle="1" w:styleId="75">
    <w:name w:val="②JM表格小标题 仿宋"/>
    <w:basedOn w:val="67"/>
    <w:next w:val="73"/>
    <w:qFormat/>
    <w:uiPriority w:val="0"/>
    <w:rPr>
      <w:rFonts w:eastAsia="仿宋"/>
      <w:b/>
    </w:rPr>
  </w:style>
  <w:style w:type="paragraph" w:customStyle="1" w:styleId="76">
    <w:name w:val="内容"/>
    <w:basedOn w:val="1"/>
    <w:qFormat/>
    <w:uiPriority w:val="0"/>
    <w:pPr>
      <w:spacing w:before="50" w:beforeLines="50" w:after="50" w:afterLines="50"/>
      <w:ind w:firstLine="200" w:firstLineChars="200"/>
    </w:pPr>
    <w:rPr>
      <w:color w:val="000000"/>
      <w:sz w:val="24"/>
    </w:rPr>
  </w:style>
  <w:style w:type="paragraph" w:customStyle="1" w:styleId="77">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79">
    <w:name w:val="②JM表格 居中 仿宋"/>
    <w:basedOn w:val="75"/>
    <w:next w:val="73"/>
    <w:qFormat/>
    <w:uiPriority w:val="0"/>
    <w:rPr>
      <w:b w:val="0"/>
    </w:rPr>
  </w:style>
  <w:style w:type="paragraph" w:customStyle="1" w:styleId="80">
    <w:name w:val="【表头】"/>
    <w:basedOn w:val="1"/>
    <w:next w:val="1"/>
    <w:qFormat/>
    <w:uiPriority w:val="0"/>
    <w:pPr>
      <w:adjustRightInd w:val="0"/>
      <w:snapToGrid w:val="0"/>
      <w:jc w:val="center"/>
    </w:pPr>
    <w:rPr>
      <w:rFonts w:ascii="Times New Roman" w:hAnsi="Times New Roman" w:eastAsia="黑体" w:cs="Times New Roman"/>
      <w:sz w:val="24"/>
    </w:rPr>
  </w:style>
  <w:style w:type="paragraph" w:customStyle="1" w:styleId="81">
    <w:name w:val="段落正文"/>
    <w:basedOn w:val="1"/>
    <w:qFormat/>
    <w:uiPriority w:val="0"/>
    <w:pPr>
      <w:spacing w:line="500" w:lineRule="atLeast"/>
      <w:ind w:firstLine="200" w:firstLineChars="200"/>
    </w:pPr>
    <w:rPr>
      <w:rFonts w:eastAsia="仿宋_GB2312"/>
      <w:sz w:val="28"/>
      <w:szCs w:val="28"/>
    </w:rPr>
  </w:style>
  <w:style w:type="paragraph" w:customStyle="1" w:styleId="82">
    <w:name w:val="设计表格"/>
    <w:basedOn w:val="1"/>
    <w:qFormat/>
    <w:uiPriority w:val="0"/>
    <w:pPr>
      <w:adjustRightInd w:val="0"/>
      <w:jc w:val="center"/>
    </w:pPr>
    <w:rPr>
      <w:rFonts w:ascii="Times New Roman" w:hAnsi="Times New Roman" w:eastAsia="宋体" w:cs="Times New Roman"/>
      <w:kern w:val="0"/>
      <w:sz w:val="24"/>
    </w:rPr>
  </w:style>
  <w:style w:type="paragraph" w:customStyle="1" w:styleId="83">
    <w:name w:val="表头1"/>
    <w:basedOn w:val="1"/>
    <w:next w:val="1"/>
    <w:qFormat/>
    <w:uiPriority w:val="0"/>
    <w:pPr>
      <w:tabs>
        <w:tab w:val="left" w:pos="605"/>
      </w:tabs>
      <w:adjustRightInd w:val="0"/>
      <w:snapToGrid w:val="0"/>
      <w:jc w:val="center"/>
    </w:pPr>
    <w:rPr>
      <w:rFonts w:eastAsia="仿宋_GB2312"/>
      <w:b/>
      <w:kern w:val="0"/>
      <w:sz w:val="24"/>
      <w:szCs w:val="28"/>
    </w:rPr>
  </w:style>
  <w:style w:type="paragraph" w:customStyle="1" w:styleId="84">
    <w:name w:val="表内容"/>
    <w:basedOn w:val="1"/>
    <w:next w:val="1"/>
    <w:qFormat/>
    <w:uiPriority w:val="0"/>
    <w:pPr>
      <w:spacing w:line="240" w:lineRule="auto"/>
      <w:ind w:firstLine="0" w:firstLineChars="0"/>
      <w:jc w:val="center"/>
    </w:pPr>
    <w:rPr>
      <w:sz w:val="21"/>
      <w:szCs w:val="20"/>
    </w:rPr>
  </w:style>
  <w:style w:type="paragraph" w:customStyle="1" w:styleId="85">
    <w:name w:val="Table Paragraph"/>
    <w:basedOn w:val="1"/>
    <w:qFormat/>
    <w:uiPriority w:val="0"/>
    <w:pPr>
      <w:keepNext w:val="0"/>
      <w:keepLines w:val="0"/>
      <w:widowControl w:val="0"/>
      <w:suppressLineNumbers w:val="0"/>
      <w:autoSpaceDE w:val="0"/>
      <w:autoSpaceDN w:val="0"/>
      <w:spacing w:before="0" w:beforeAutospacing="0" w:after="0" w:afterAutospacing="0" w:line="240" w:lineRule="auto"/>
      <w:ind w:left="0" w:right="0"/>
      <w:jc w:val="center"/>
    </w:pPr>
    <w:rPr>
      <w:rFonts w:hint="eastAsia" w:ascii="仿宋" w:hAnsi="仿宋" w:eastAsia="仿宋" w:cs="仿宋"/>
      <w:kern w:val="0"/>
      <w:sz w:val="22"/>
      <w:szCs w:val="22"/>
      <w:lang w:val="en-US" w:eastAsia="zh-CN" w:bidi="ar"/>
    </w:rPr>
  </w:style>
  <w:style w:type="paragraph" w:customStyle="1" w:styleId="86">
    <w:name w:val="表图头"/>
    <w:basedOn w:val="65"/>
    <w:qFormat/>
    <w:uiPriority w:val="0"/>
    <w:pPr>
      <w:ind w:firstLine="0" w:firstLineChars="0"/>
      <w:jc w:val="center"/>
    </w:pPr>
    <w:rPr>
      <w:b/>
      <w:sz w:val="22"/>
    </w:rPr>
  </w:style>
  <w:style w:type="paragraph" w:customStyle="1" w:styleId="87">
    <w:name w:val="正文00"/>
    <w:basedOn w:val="1"/>
    <w:next w:val="62"/>
    <w:qFormat/>
    <w:uiPriority w:val="0"/>
    <w:pPr>
      <w:widowControl/>
      <w:spacing w:line="425" w:lineRule="atLeast"/>
      <w:ind w:left="107" w:leftChars="51" w:right="124" w:rightChars="59" w:firstLine="480"/>
      <w:textAlignment w:val="baseline"/>
    </w:pPr>
    <w:rPr>
      <w:kern w:val="0"/>
      <w:sz w:val="28"/>
      <w:u w:val="none" w:color="000000"/>
    </w:rPr>
  </w:style>
  <w:style w:type="paragraph" w:customStyle="1" w:styleId="88">
    <w:name w:val="环评表中文字"/>
    <w:basedOn w:val="1"/>
    <w:qFormat/>
    <w:uiPriority w:val="0"/>
    <w:pPr>
      <w:widowControl/>
      <w:spacing w:line="240" w:lineRule="auto"/>
      <w:ind w:firstLine="0" w:firstLineChars="0"/>
      <w:jc w:val="center"/>
    </w:pPr>
    <w:rPr>
      <w:rFonts w:ascii="宋体" w:hAnsi="宋体" w:cs="宋体"/>
      <w:kern w:val="0"/>
      <w:szCs w:val="22"/>
    </w:rPr>
  </w:style>
  <w:style w:type="paragraph" w:customStyle="1" w:styleId="89">
    <w:name w:val="_Style 2"/>
    <w:basedOn w:val="1"/>
    <w:qFormat/>
    <w:uiPriority w:val="34"/>
    <w:pPr>
      <w:ind w:firstLine="420" w:firstLineChars="200"/>
    </w:pPr>
    <w:rPr>
      <w:rFonts w:ascii="Calibri" w:hAnsi="Calibri"/>
      <w:szCs w:val="22"/>
    </w:rPr>
  </w:style>
  <w:style w:type="paragraph" w:customStyle="1" w:styleId="90">
    <w:name w:val="我的正文"/>
    <w:basedOn w:val="1"/>
    <w:qFormat/>
    <w:uiPriority w:val="0"/>
    <w:pPr>
      <w:adjustRightInd w:val="0"/>
      <w:snapToGrid w:val="0"/>
      <w:spacing w:line="480" w:lineRule="exact"/>
      <w:ind w:firstLine="720" w:firstLineChars="200"/>
      <w:jc w:val="left"/>
    </w:pPr>
    <w:rPr>
      <w:rFonts w:ascii="Times New Roman" w:hAnsi="Times New Roman" w:eastAsia="宋体" w:cs="宋体"/>
      <w:bCs/>
      <w:szCs w:val="21"/>
    </w:rPr>
  </w:style>
  <w:style w:type="paragraph" w:customStyle="1" w:styleId="91">
    <w:name w:val="《正文》"/>
    <w:basedOn w:val="1"/>
    <w:qFormat/>
    <w:uiPriority w:val="0"/>
    <w:pPr>
      <w:spacing w:line="360" w:lineRule="auto"/>
      <w:ind w:firstLine="200" w:firstLineChars="200"/>
    </w:pPr>
    <w:rPr>
      <w:sz w:val="24"/>
    </w:rPr>
  </w:style>
  <w:style w:type="paragraph" w:customStyle="1" w:styleId="92">
    <w:name w:val="列出段落1"/>
    <w:basedOn w:val="1"/>
    <w:qFormat/>
    <w:uiPriority w:val="0"/>
    <w:pPr>
      <w:ind w:firstLine="420" w:firstLineChars="200"/>
    </w:pPr>
  </w:style>
  <w:style w:type="paragraph" w:customStyle="1" w:styleId="93">
    <w:name w:val="baby-正文"/>
    <w:basedOn w:val="11"/>
    <w:next w:val="9"/>
    <w:qFormat/>
    <w:uiPriority w:val="0"/>
    <w:pPr>
      <w:spacing w:after="120"/>
    </w:pPr>
    <w:rPr>
      <w:rFonts w:ascii="仿宋_GB2312"/>
      <w:bCs/>
      <w:sz w:val="30"/>
    </w:rPr>
  </w:style>
  <w:style w:type="paragraph" w:customStyle="1" w:styleId="94">
    <w:name w:val="表格中文字"/>
    <w:basedOn w:val="95"/>
    <w:qFormat/>
    <w:uiPriority w:val="0"/>
    <w:pPr>
      <w:spacing w:line="360" w:lineRule="exact"/>
    </w:pPr>
    <w:rPr>
      <w:szCs w:val="21"/>
    </w:rPr>
  </w:style>
  <w:style w:type="paragraph" w:customStyle="1" w:styleId="95">
    <w:name w:val="填表正文"/>
    <w:basedOn w:val="1"/>
    <w:qFormat/>
    <w:uiPriority w:val="0"/>
    <w:pPr>
      <w:adjustRightInd w:val="0"/>
      <w:snapToGrid w:val="0"/>
      <w:jc w:val="center"/>
    </w:pPr>
    <w:rPr>
      <w:rFonts w:ascii="宋体" w:hAnsi="Calibri"/>
      <w:color w:val="000000"/>
      <w:kern w:val="0"/>
      <w:szCs w:val="44"/>
    </w:rPr>
  </w:style>
  <w:style w:type="paragraph" w:customStyle="1" w:styleId="96">
    <w:name w:val="样式 黑体 居中 行距: 1.5 倍行距"/>
    <w:basedOn w:val="1"/>
    <w:qFormat/>
    <w:uiPriority w:val="0"/>
    <w:pPr>
      <w:ind w:firstLine="0" w:firstLineChars="0"/>
      <w:jc w:val="center"/>
    </w:pPr>
    <w:rPr>
      <w:rFonts w:ascii="黑体" w:hAnsi="黑体" w:eastAsia="黑体" w:cs="宋体"/>
      <w:kern w:val="0"/>
      <w:szCs w:val="20"/>
    </w:rPr>
  </w:style>
  <w:style w:type="paragraph" w:customStyle="1" w:styleId="97">
    <w:name w:val="表中文字（工大）"/>
    <w:basedOn w:val="1"/>
    <w:qFormat/>
    <w:uiPriority w:val="0"/>
    <w:pPr>
      <w:spacing w:line="400" w:lineRule="exact"/>
      <w:jc w:val="center"/>
    </w:pPr>
    <w:rPr>
      <w:szCs w:val="20"/>
    </w:rPr>
  </w:style>
  <w:style w:type="paragraph" w:customStyle="1" w:styleId="98">
    <w:name w:val="C【表头】"/>
    <w:basedOn w:val="1"/>
    <w:qFormat/>
    <w:uiPriority w:val="0"/>
    <w:pPr>
      <w:widowControl/>
      <w:adjustRightInd w:val="0"/>
      <w:snapToGrid w:val="0"/>
      <w:jc w:val="center"/>
    </w:pPr>
    <w:rPr>
      <w:rFonts w:eastAsia="黑体" w:cs="宋体"/>
      <w:kern w:val="0"/>
      <w:szCs w:val="20"/>
    </w:rPr>
  </w:style>
  <w:style w:type="paragraph" w:customStyle="1" w:styleId="99">
    <w:name w:val="正文缩进1"/>
    <w:basedOn w:val="1"/>
    <w:qFormat/>
    <w:uiPriority w:val="0"/>
    <w:pPr>
      <w:ind w:firstLine="420"/>
    </w:pPr>
    <w:rPr>
      <w:szCs w:val="20"/>
    </w:rPr>
  </w:style>
  <w:style w:type="paragraph" w:customStyle="1" w:styleId="100">
    <w:name w:val="表中字"/>
    <w:qFormat/>
    <w:uiPriority w:val="0"/>
    <w:pPr>
      <w:jc w:val="center"/>
    </w:pPr>
    <w:rPr>
      <w:rFonts w:ascii="Times New Roman" w:hAnsi="Times New Roman" w:eastAsia="宋体" w:cs="Times New Roman"/>
      <w:kern w:val="2"/>
      <w:sz w:val="21"/>
      <w:szCs w:val="22"/>
      <w:lang w:val="zh-CN" w:eastAsia="zh-CN" w:bidi="ar-SA"/>
    </w:rPr>
  </w:style>
  <w:style w:type="paragraph" w:customStyle="1" w:styleId="101">
    <w:name w:val="表格填充项"/>
    <w:basedOn w:val="1"/>
    <w:qFormat/>
    <w:uiPriority w:val="0"/>
    <w:pPr>
      <w:spacing w:line="240" w:lineRule="atLeast"/>
      <w:jc w:val="center"/>
    </w:pPr>
    <w:rPr>
      <w:rFonts w:ascii="宋体" w:hAnsi="宋体"/>
      <w:b/>
      <w:szCs w:val="24"/>
    </w:rPr>
  </w:style>
  <w:style w:type="paragraph" w:customStyle="1" w:styleId="102">
    <w:name w:val="bgb表头"/>
    <w:basedOn w:val="1"/>
    <w:next w:val="1"/>
    <w:qFormat/>
    <w:uiPriority w:val="0"/>
    <w:pPr>
      <w:adjustRightInd w:val="0"/>
      <w:snapToGrid w:val="0"/>
      <w:spacing w:line="480" w:lineRule="exact"/>
      <w:contextualSpacing/>
      <w:jc w:val="center"/>
    </w:pPr>
    <w:rPr>
      <w:color w:val="000000"/>
      <w:kern w:val="0"/>
      <w:sz w:val="24"/>
      <w:szCs w:val="21"/>
    </w:rPr>
  </w:style>
  <w:style w:type="table" w:customStyle="1" w:styleId="103">
    <w:name w:val="Table Normal1"/>
    <w:unhideWhenUsed/>
    <w:qFormat/>
    <w:uiPriority w:val="2"/>
    <w:pPr>
      <w:widowControl w:val="0"/>
    </w:pPr>
    <w:rPr>
      <w:rFonts w:eastAsia="宋体"/>
      <w:lang w:eastAsia="en-US"/>
    </w:rPr>
    <w:tblPr>
      <w:tblLayout w:type="fixed"/>
      <w:tblCellMar>
        <w:top w:w="0" w:type="dxa"/>
        <w:left w:w="0" w:type="dxa"/>
        <w:bottom w:w="0" w:type="dxa"/>
        <w:right w:w="0" w:type="dxa"/>
      </w:tblCellMar>
    </w:tblPr>
  </w:style>
  <w:style w:type="paragraph" w:customStyle="1" w:styleId="104">
    <w:name w:val="a正文"/>
    <w:basedOn w:val="61"/>
    <w:qFormat/>
    <w:uiPriority w:val="0"/>
    <w:pPr>
      <w:spacing w:line="520" w:lineRule="exact"/>
      <w:ind w:firstLine="200"/>
    </w:pPr>
    <w:rPr>
      <w:rFonts w:cs="Times New Roman"/>
    </w:rPr>
  </w:style>
  <w:style w:type="paragraph" w:customStyle="1" w:styleId="105">
    <w:name w:val="正文1"/>
    <w:basedOn w:val="106"/>
    <w:next w:val="1"/>
    <w:qFormat/>
    <w:uiPriority w:val="0"/>
    <w:pPr>
      <w:widowControl w:val="0"/>
      <w:tabs>
        <w:tab w:val="left" w:pos="567"/>
      </w:tabs>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106">
    <w:name w:val="正文11"/>
    <w:qFormat/>
    <w:uiPriority w:val="0"/>
    <w:pPr>
      <w:widowControl w:val="0"/>
      <w:tabs>
        <w:tab w:val="left" w:pos="567"/>
      </w:tabs>
      <w:adjustRightInd w:val="0"/>
      <w:spacing w:line="360" w:lineRule="atLeast"/>
      <w:ind w:left="567" w:hanging="567"/>
      <w:textAlignment w:val="baseline"/>
    </w:pPr>
    <w:rPr>
      <w:rFonts w:ascii="宋体" w:hAnsi="Times New Roman" w:eastAsia="宋体" w:cs="Times New Roman"/>
      <w:sz w:val="24"/>
      <w:lang w:val="en-US" w:eastAsia="zh-CN" w:bidi="ar-SA"/>
    </w:rPr>
  </w:style>
  <w:style w:type="paragraph" w:customStyle="1" w:styleId="107">
    <w:name w:val="0表格文字"/>
    <w:basedOn w:val="108"/>
    <w:next w:val="108"/>
    <w:qFormat/>
    <w:uiPriority w:val="0"/>
    <w:pPr>
      <w:topLinePunct/>
      <w:autoSpaceDE/>
      <w:autoSpaceDN/>
      <w:adjustRightInd/>
      <w:spacing w:line="240" w:lineRule="auto"/>
      <w:ind w:firstLine="0" w:firstLineChars="0"/>
      <w:jc w:val="center"/>
    </w:pPr>
    <w:rPr>
      <w:rFonts w:ascii="Times New Roman" w:hAnsi="Times New Roman" w:eastAsia="宋体" w:cs="宋体"/>
      <w:sz w:val="21"/>
      <w:szCs w:val="21"/>
    </w:rPr>
  </w:style>
  <w:style w:type="paragraph" w:customStyle="1" w:styleId="108">
    <w:name w:val="00通用正文"/>
    <w:basedOn w:val="1"/>
    <w:qFormat/>
    <w:uiPriority w:val="0"/>
    <w:pPr>
      <w:widowControl w:val="0"/>
      <w:wordWrap w:val="0"/>
      <w:spacing w:after="0" w:line="360" w:lineRule="auto"/>
      <w:ind w:firstLine="420" w:firstLineChars="200"/>
      <w:jc w:val="left"/>
    </w:pPr>
    <w:rPr>
      <w:rFonts w:ascii="Times New Roman" w:hAnsi="Times New Roman" w:eastAsia="宋体" w:cstheme="minorBidi"/>
      <w:color w:val="000000"/>
      <w:szCs w:val="24"/>
    </w:rPr>
  </w:style>
  <w:style w:type="paragraph" w:customStyle="1" w:styleId="109">
    <w:name w:val="表格2"/>
    <w:basedOn w:val="1"/>
    <w:next w:val="1"/>
    <w:qFormat/>
    <w:uiPriority w:val="0"/>
    <w:pPr>
      <w:spacing w:line="400" w:lineRule="atLeast"/>
      <w:jc w:val="center"/>
    </w:pPr>
    <w:rPr>
      <w:szCs w:val="20"/>
    </w:rPr>
  </w:style>
  <w:style w:type="paragraph" w:customStyle="1" w:styleId="110">
    <w:name w:val="C首行缩进正文"/>
    <w:basedOn w:val="48"/>
    <w:qFormat/>
    <w:uiPriority w:val="0"/>
    <w:pPr>
      <w:adjustRightInd/>
      <w:snapToGrid/>
    </w:pPr>
    <w:rPr>
      <w:rFonts w:cs="宋体"/>
      <w:color w:val="000000"/>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8" Type="http://schemas.openxmlformats.org/officeDocument/2006/relationships/fontTable" Target="fontTable.xml"/><Relationship Id="rId57" Type="http://schemas.openxmlformats.org/officeDocument/2006/relationships/customXml" Target="../customXml/item2.xml"/><Relationship Id="rId56" Type="http://schemas.openxmlformats.org/officeDocument/2006/relationships/numbering" Target="numbering.xml"/><Relationship Id="rId55" Type="http://schemas.openxmlformats.org/officeDocument/2006/relationships/customXml" Target="../customXml/item1.xml"/><Relationship Id="rId54" Type="http://schemas.openxmlformats.org/officeDocument/2006/relationships/image" Target="media/image37.png"/><Relationship Id="rId53" Type="http://schemas.openxmlformats.org/officeDocument/2006/relationships/image" Target="media/image36.png"/><Relationship Id="rId52" Type="http://schemas.openxmlformats.org/officeDocument/2006/relationships/image" Target="media/image35.png"/><Relationship Id="rId51" Type="http://schemas.openxmlformats.org/officeDocument/2006/relationships/image" Target="media/image34.png"/><Relationship Id="rId50" Type="http://schemas.openxmlformats.org/officeDocument/2006/relationships/image" Target="media/image33.png"/><Relationship Id="rId5" Type="http://schemas.openxmlformats.org/officeDocument/2006/relationships/footer" Target="footer3.xml"/><Relationship Id="rId49" Type="http://schemas.openxmlformats.org/officeDocument/2006/relationships/image" Target="media/image32.png"/><Relationship Id="rId48" Type="http://schemas.openxmlformats.org/officeDocument/2006/relationships/image" Target="media/image31.png"/><Relationship Id="rId47" Type="http://schemas.openxmlformats.org/officeDocument/2006/relationships/image" Target="media/image30.png"/><Relationship Id="rId46" Type="http://schemas.openxmlformats.org/officeDocument/2006/relationships/image" Target="media/image29.png"/><Relationship Id="rId45" Type="http://schemas.openxmlformats.org/officeDocument/2006/relationships/image" Target="media/image28.png"/><Relationship Id="rId44" Type="http://schemas.openxmlformats.org/officeDocument/2006/relationships/image" Target="media/image27.png"/><Relationship Id="rId43" Type="http://schemas.openxmlformats.org/officeDocument/2006/relationships/image" Target="media/image26.png"/><Relationship Id="rId42" Type="http://schemas.openxmlformats.org/officeDocument/2006/relationships/image" Target="media/image25.png"/><Relationship Id="rId41" Type="http://schemas.openxmlformats.org/officeDocument/2006/relationships/image" Target="media/image24.png"/><Relationship Id="rId40" Type="http://schemas.openxmlformats.org/officeDocument/2006/relationships/image" Target="media/image23.wmf"/><Relationship Id="rId4" Type="http://schemas.openxmlformats.org/officeDocument/2006/relationships/footer" Target="footer2.xml"/><Relationship Id="rId39" Type="http://schemas.openxmlformats.org/officeDocument/2006/relationships/oleObject" Target="embeddings/oleObject9.bin"/><Relationship Id="rId38" Type="http://schemas.openxmlformats.org/officeDocument/2006/relationships/image" Target="media/image22.png"/><Relationship Id="rId37" Type="http://schemas.openxmlformats.org/officeDocument/2006/relationships/image" Target="media/image21.wmf"/><Relationship Id="rId36" Type="http://schemas.openxmlformats.org/officeDocument/2006/relationships/oleObject" Target="embeddings/oleObject8.bin"/><Relationship Id="rId35" Type="http://schemas.openxmlformats.org/officeDocument/2006/relationships/image" Target="media/image20.wmf"/><Relationship Id="rId34" Type="http://schemas.openxmlformats.org/officeDocument/2006/relationships/oleObject" Target="embeddings/oleObject7.bin"/><Relationship Id="rId33" Type="http://schemas.openxmlformats.org/officeDocument/2006/relationships/image" Target="media/image19.wmf"/><Relationship Id="rId32" Type="http://schemas.openxmlformats.org/officeDocument/2006/relationships/oleObject" Target="embeddings/oleObject6.bin"/><Relationship Id="rId31" Type="http://schemas.openxmlformats.org/officeDocument/2006/relationships/image" Target="media/image18.wmf"/><Relationship Id="rId30" Type="http://schemas.openxmlformats.org/officeDocument/2006/relationships/oleObject" Target="embeddings/oleObject5.bin"/><Relationship Id="rId3" Type="http://schemas.openxmlformats.org/officeDocument/2006/relationships/footer" Target="footer1.xml"/><Relationship Id="rId29" Type="http://schemas.openxmlformats.org/officeDocument/2006/relationships/image" Target="media/image17.wmf"/><Relationship Id="rId28" Type="http://schemas.openxmlformats.org/officeDocument/2006/relationships/oleObject" Target="embeddings/oleObject4.bin"/><Relationship Id="rId27" Type="http://schemas.openxmlformats.org/officeDocument/2006/relationships/image" Target="media/image16.wmf"/><Relationship Id="rId26" Type="http://schemas.openxmlformats.org/officeDocument/2006/relationships/oleObject" Target="embeddings/oleObject3.bin"/><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wmf"/><Relationship Id="rId13" Type="http://schemas.openxmlformats.org/officeDocument/2006/relationships/oleObject" Target="embeddings/oleObject2.bin"/><Relationship Id="rId12" Type="http://schemas.openxmlformats.org/officeDocument/2006/relationships/image" Target="media/image3.wmf"/><Relationship Id="rId11" Type="http://schemas.openxmlformats.org/officeDocument/2006/relationships/oleObject" Target="embeddings/oleObject1.bin"/><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lWRk9DVkNSaVU1TUNWRk9DVkNSU1U1TXlWRk15VTRNQ1U0TVNWRk9DVkJNeVU0TlNWRk5TVTRSQ1ZDT0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lWRk55VkJSQ1U1UWlWRk9TVTRNQ1U0T1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lWRk55VTRNeVU1T0NWRk5TVkNPU1ZDTWl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OMFFsTWtNbE1qSmphR2xzWkhKbGJpVXlNaVV6UVNVMVFpVTFSQ1V5UXlVeU1uSmxjMmw2WlVScGNpVXlNaVV6UVNVMVFpVXlNblJzSlRJeUpUSkRKVEl5ZEhJbE1qSWxNa01sTWpKaWNpVXlNaVV5UXlVeU1tSnNKVEl5SlRKREpUSXliQ1V5TWlVeVF5VXlNblFsTWpJbE1rTWxNakp5SlRJeUpUSkRKVEl5WWlVeU1pVTFSQ1V5UXlVeU1tNWhiV1VsTWpJbE0wRWxNakp5WldOMFlXNW5iR1VsTWpJbE1rTWxNakptYVd4c1UzUjViR1VsTWpJbE0wRWxOMElsTjBRbE1rTWxNakowYUdWdFpTVXlNaVV6UVNVM1FpVTNSQ1V5UXlVeU1tbGtKVEl5SlROQkpUSXlSMGRKVkd0eVVVcFNkRGd3TVRVNE15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"/>
    </extobj>
    <extobj name="E657119C-6982-421D-8BA7-E74DEB70A7D9-2">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MU56Z2xNa01sTWpKemFHOTNSM0pwWkNVeU1pVXpRWFJ5ZFdVbE1rTWxNakp5YVdOb1ZHVjRkQ1V5TWlVelFYUnlkV1VsTWtNbE1qSm9aV2xuYUhRbE1qSWxNMEV4TURBd0pUZEVKVEpESlRJeVpXeGxiV1Z1ZEhNbE1qSWxNMEVsTjBJbE1qSnliMHhZYzJwTVdtTjZNVE0xTURVNEpUSXlKVE5CSlRkQ0pUSXlhV1FsTWpJbE0wRWxNakp5YjB4WWMycE1XbU42TVRNMU1EVTR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OW5jRXhIZFhGeVFtYzBOVFF3TVRnbE1qSWxOMFFsTWtNbE4wSWxNakp1WVcxbEpUSXlKVE5CSlRJeUpVVTFKVGt3SlRoRUpVVTNKVUUzSlVJd0pUSXlKVEpESlRJeWRIbHdaU1V5TWlVelFTVXlNbk4wY21sdVp5VXlNaVV5UXlVeU1uWmhiSFZsSlRJeUpUTkJKVEl5SlRJeUpUSkRKVEl5WTJGMFpXZHZjbmtsTWpJbE0wRWxNakprWldaaGRXeDBKVEl5SlRKREpUSXlhV1FsTWpJbE0wRWxNako1WTB0VmVFTk9TME5xT0RBMU1EQTB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kpUazJKVUl3SlVVNUpVSXlKVGxESlVVMkpVSXdKVUkw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SMUJ6YzJkbllYVmlhVFUzT1RFMU9DVXlNaVV6UVNVM1FpVXlNbWxrSlRJeUpUTkJKVEl5UjFCemMyZG5ZWFZpYVRVM09URTFPQ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lBTblZHZUZkNlZHcHhOREkwTnpNekpUSXlKVGRFSlRKREpUZENKVEl5Ym1GdFpTVXlNaVV6UVNVeU1pVkZOU1U1TUNVNFJDVkZOeVZCTnlWQ01DVXlNaVV5UXlVeU1uUjVjR1VsTWpJbE0wRWxNakp6ZEhKcGJtY2xNaklsTWtNbE1qSjJZV3gxWlNVeU1pVXpRU1V5TWlVeU1pVXlReVV5TW1OaGRHVm5iM0o1SlRJeUpUTkJKVEl5WkdWbVlYVnNkQ1V5TWlVeVF5VXlNbWxrSlRJeUpUTkJKVEl5WWxGSWFucExaMWRXYURNNU1UQTNNe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TVTRPQ1U1UkNWRk5pVTVReVU1UmlWRk9TVTVRaVZCT0NWRk5pVkNNQ1ZDT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a05hZEdkRFJHRm5jRVV4TlRVeE5EVWxNaklsTTBFbE4wSWxNakpwWkNVeU1pVXpRU1V5TWtOYWRHZERSR0ZuY0VVeE5UVXhORFVsTWpJbE1rTWxNakp1WVcxbEpUSXlKVE5CSlRJeWNtVmpkR0Z1WjJ4bEpUSXlKVEpESlRJeWRHbDBiR1VsTWpJbE0wRWxNaklsUlRjbE9VWWxRVGtsUlRVbFFrUWxRVEl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TVXBpUVhGeVdIVkdjemd5TWpRd05pVXlNaVUzUkNVeVF5VTNRaVV5TW01aGJXVWxNaklsTTBFbE1qSWxSVFVsT1RBbE9FUWxSVGNsUVRjbFFqQWxNaklsTWtNbE1qSjBlWEJsSlRJeUpUTkJKVEl5YzNSeWFXNW5KVEl5SlRKREpUSXlkbUZzZFdVbE1qSWxNMEVsTWpJbE1qSWxNa01sTWpKallYUmxaMjl5ZVNVeU1pVXpRU1V5TW1SbFptRjFiSFFsTWpJbE1rTWxNakpwWkNVeU1pVXpRU1V5TWtkTFdYTmtRVVpoY0dZeE9EVXhNVEV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Y2xPVFFsT1VZbFJUWWxRalFsUWtJbFJUWWxRakVsUVRFbFJUWWxRakFsUWpR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OYTJ0M1JHeDRUM2RCTWpnNE1EYzJKVEl5SlROQkpUZENKVEl5YVdRbE1qSWxNMEVsTWpKTmEydDNSR3g0VDNkQk1qZzRNRGMy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FZNWWtkNWFHRkNTVXN4TXpRME56Z2xNaklsTjBRbE1rTWxOMElsTWpKdVlXMWxKVEl5SlROQkpUSXlKVVUxSlRrd0pUaEVKVVUzSlVFM0pVSXdKVEl5SlRKREpUSXlkSGx3WlNVeU1pVXpRU1V5TW5OMGNtbHVaeVV5TWlVeVF5VXlNblpoYkhWbEpUSXlKVE5CSlRJeUpUSXlKVEpESlRJeVkyRjBaV2R2Y25rbE1qSWxNMEVsTWpKa1pXWmhkV3gwSlRJeUpUSkRKVEl5YVdRbE1qSWxNMEVsTWpKR1RHWnVabmREUW1wSk16Z3dNVGN4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FKVGhGSlRneUpVVTFKVGhESlVKQkpVVTVKVGs1SlRoRUpVVTFKVUl3SlRrN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VkhwRFkzaEhTRlIxYXpjM09ERTBOeVV5TWlVelFTVTNRaVV5TW1sa0pUSXlKVE5CSlRJeVZIcERZM2hIU0ZSMWF6YzNPREUwTnl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6ZVVkaFZHTkhkR3BLT0RBMk9ESXdKVEl5SlRkRUpUSkRKVGRDSlRJeWJtRnRaU1V5TWlVelFTVXlNaVZGTlNVNU1DVTRSQ1ZGTnlWQk55VkNNQ1V5TWlVeVF5VXlNblI1Y0dVbE1qSWxNMEVsTWpKemRISnBibWNsTWpJbE1rTWxNakoyWVd4MVpTVXlNaVV6UVNVeU1pVXlNaVV5UXlVeU1tTmhkR1ZuYjNKNUpUSXlKVE5CSlRJeVpHVm1ZWFZzZENVeU1pVXlReVV5TW1sa0pUSXlKVE5CSlRJeWRFMXhWMWhSVGtGb2VETTFNamN3TWl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PU1U1T0NWQ01pVkZOaVZDT0NVNU55VkZOaVU1TnlWQ01TVkZOU1U0UlNVNU5T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"/>
    </extobj>
  </extobjs>
</s:customData>
</file>

<file path=customXml/item2.xml><?xml version="1.0" encoding="utf-8"?>
<contractReview xmlns="http://schemas.wps.cn/vas-ai-hub/contract-review">
  <reviewItems>
    <reviewItem>
      <errorID>6731881d-e323-4c72-8b5f-dffa06306f96</errorID>
      <errorWord>环境影响评价</errorWord>
      <group>L1_Punc</group>
      <groupName>标点问题</groupName>
      <ability>L2_Punc</ability>
      <abilityName>标点符号检查</abilityName>
      <candidateList>
        <item>（环境影响评价）</item>
      </candidateList>
      <explain/>
      <paraID> 34956FE</paraID>
      <start>21</start>
      <end>27</end>
      <status>ignored</status>
      <modifiedWord/>
      <trackRevisions>false</trackRevisions>
    </reviewItem>
    <reviewItem>
      <errorID>92f628f7-5a69-4ca9-aad6-cd3e6e5e061f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34956FE</paraID>
      <start>34</start>
      <end>35</end>
      <status>ignored</status>
      <modifiedWord/>
      <trackRevisions>false</trackRevisions>
    </reviewItem>
    <reviewItem>
      <errorID>28ccf288-6b3e-424d-acfd-7dd8d12bb378</errorID>
      <errorWord>“三线一单 </errorWord>
      <group>L1_Punc</group>
      <groupName>标点问题</groupName>
      <ability>L2_Punc</ability>
      <abilityName>标点符号检查</abilityName>
      <candidateList>
        <item>‘三线一单’</item>
      </candidateList>
      <explain/>
      <paraID> 34956FE</paraID>
      <start>41</start>
      <end>47</end>
      <status>ignored</status>
      <modifiedWord/>
      <trackRevisions>false</trackRevisions>
    </reviewItem>
    <reviewItem>
      <errorID>da5ed7fb-a584-4bc7-b6e7-8eb38e620930</errorID>
      <errorWord>“一图一表一说明”</errorWord>
      <group>L1_Punc</group>
      <groupName>标点问题</groupName>
      <ability>L2_Punc</ability>
      <abilityName>标点符号检查</abilityName>
      <candidateList>
        <item>‘一图一表一说明’</item>
      </candidateList>
      <explain/>
      <paraID> 34956FE</paraID>
      <start>62</start>
      <end>71</end>
      <status>ignored</status>
      <modifiedWord/>
      <trackRevisions>false</trackRevisions>
    </reviewItem>
    <reviewItem>
      <errorID>8dd556a2-06d7-461f-a9da-6dc53ad3b102</errorID>
      <errorWord>”。</errorWord>
      <group>L1_Punc</group>
      <groupName>标点问题</groupName>
      <ability>L2_Punc</ability>
      <abilityName>标点符号检查</abilityName>
      <candidateList>
        <item>。”</item>
      </candidateList>
      <explain/>
      <paraID> 34956FE</paraID>
      <start>76</start>
      <end>78</end>
      <status>modified</status>
      <modifiedWord>。”</modifiedWord>
      <trackRevisions>false</trackRevisions>
    </reviewItem>
    <reviewItem>
      <errorID>cf87ee8f-32cd-4006-bc6a-4ef3e8793015</errorID>
      <errorWord>选址位于项目</errorWord>
      <group>L1_Grammar</group>
      <groupName>语法问题</groupName>
      <ability>L2_Grammar</ability>
      <abilityName>语法错误</abilityName>
      <candidateList>
        <item>选址</item>
      </candidateList>
      <explain/>
      <paraID>2473C798</paraID>
      <start>3</start>
      <end>5</end>
      <status>modified</status>
      <modifiedWord>选址</modifiedWord>
      <trackRevisions>false</trackRevisions>
    </reviewItem>
    <reviewItem>
      <errorID>65ee710a-0534-41b3-bbeb-498a64e0621f</errorID>
      <errorWord> </errorWord>
      <group>L1_Punc</group>
      <groupName>标点问题</groupName>
      <ability>L2_Punc</ability>
      <abilityName>标点符号检查</abilityName>
      <candidateList>
        <item/>
      </candidateList>
      <explain>此处空格冗余，建议删除。</explain>
      <paraID>2473C798</paraID>
      <start>96</start>
      <end>96</end>
      <status>modified</status>
      <modifiedWord/>
      <trackRevisions>false</trackRevisions>
    </reviewItem>
    <reviewItem>
      <errorID>cd17e260-7cb2-4312-875c-6a369aec236d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5814C4A5</paraID>
      <start>0</start>
      <end>2</end>
      <status>ignored</status>
      <modifiedWord/>
      <trackRevisions>false</trackRevisions>
    </reviewItem>
    <reviewItem>
      <errorID>80cd303a-b225-4959-9dc7-d4720af8bf12</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47AE315C</paraID>
      <start>2</start>
      <end>22</end>
      <status>modified</status>
      <modifiedWord>《产业结构调整指导目录(2024年本)》</modifiedWord>
      <trackRevisions>false</trackRevisions>
    </reviewItem>
    <reviewItem>
      <errorID>bb2aecfb-ed7a-435e-9747-e3c346711b61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3BBC40FA</paraID>
      <start>0</start>
      <end>2</end>
      <status>ignored</status>
      <modifiedWord/>
      <trackRevisions>false</trackRevisions>
    </reviewItem>
    <reviewItem>
      <errorID>c93bc07b-fffa-4990-9b5f-649c585f046f</errorID>
      <errorWord>项目燃</errorWord>
      <group>L1_Word</group>
      <groupName>字词问题</groupName>
      <ability>L2_Typo</ability>
      <abilityName>字词错误</abilityName>
      <candidateList>
        <item>项目</item>
      </candidateList>
      <explain/>
      <paraID>586424EC</paraID>
      <start>94</start>
      <end>96</end>
      <status>modified</status>
      <modifiedWord>项目</modifiedWord>
      <trackRevisions>false</trackRevisions>
    </reviewItem>
    <reviewItem>
      <errorID>e1df08cc-fb45-4110-bbea-11bf4be7d1e5</errorID>
      <errorWord>）中的</errorWord>
      <group>L1_Grammar</group>
      <groupName>语法问题</groupName>
      <ability>L2_Grammar</ability>
      <abilityName>语法错误</abilityName>
      <candidateList>
        <item>）</item>
      </candidateList>
      <explain/>
      <paraID>586424EC</paraID>
      <start>168</start>
      <end>169</end>
      <status>modified</status>
      <modifiedWord>）</modifiedWord>
      <trackRevisions>false</trackRevisions>
    </reviewItem>
    <reviewItem>
      <errorID>a10f7240-cf6e-418b-88c9-31ec6a641005</errorID>
      <errorWord>2中的</errorWord>
      <group>L1_Grammar</group>
      <groupName>语法问题</groupName>
      <ability>L2_Grammar</ability>
      <abilityName>语法错误</abilityName>
      <candidateList>
        <item>2</item>
      </candidateList>
      <explain/>
      <paraID>586424EC</paraID>
      <start>170</start>
      <end>171</end>
      <status>modified</status>
      <modifiedWord>2</modifiedWord>
      <trackRevisions>false</trackRevisions>
    </reviewItem>
    <reviewItem>
      <errorID>91303032-1a09-4d92-8bc3-137ad8833576</errorID>
      <errorWord>）中的</errorWord>
      <group>L1_Grammar</group>
      <groupName>语法问题</groupName>
      <ability>L2_Grammar</ability>
      <abilityName>语法错误</abilityName>
      <candidateList>
        <item>）</item>
      </candidateList>
      <explain/>
      <paraID>586424EC</paraID>
      <start>212</start>
      <end>213</end>
      <status>modified</status>
      <modifiedWord>）</modifiedWord>
      <trackRevisions>false</trackRevisions>
    </reviewItem>
    <reviewItem>
      <errorID>f4b95307-0990-4d02-be60-ea968314740b</errorID>
      <errorWord>4中的</errorWord>
      <group>L1_Grammar</group>
      <groupName>语法问题</groupName>
      <ability>L2_Grammar</ability>
      <abilityName>语法错误</abilityName>
      <candidateList>
        <item>4</item>
      </candidateList>
      <explain/>
      <paraID>586424EC</paraID>
      <start>214</start>
      <end>215</end>
      <status>modified</status>
      <modifiedWord>4</modifiedWord>
      <trackRevisions>false</trackRevisions>
    </reviewItem>
    <reviewItem>
      <errorID>8eda7869-b9c4-47e1-b15a-1a73998c1947</errorID>
      <errorWord>）中的</errorWord>
      <group>L1_Grammar</group>
      <groupName>语法问题</groupName>
      <ability>L2_Grammar</ability>
      <abilityName>语法错误</abilityName>
      <candidateList>
        <item>）</item>
      </candidateList>
      <explain/>
      <paraID>586424EC</paraID>
      <start>253</start>
      <end>254</end>
      <status>modified</status>
      <modifiedWord>）</modifiedWord>
      <trackRevisions>false</trackRevisions>
    </reviewItem>
    <reviewItem>
      <errorID>5957efd7-3d2e-42e2-8f9a-170845cef0fa</errorID>
      <errorWord>2中的</errorWord>
      <group>L1_Grammar</group>
      <groupName>语法问题</groupName>
      <ability>L2_Grammar</ability>
      <abilityName>语法错误</abilityName>
      <candidateList>
        <item>2</item>
      </candidateList>
      <explain/>
      <paraID>586424EC</paraID>
      <start>255</start>
      <end>256</end>
      <status>modified</status>
      <modifiedWord>2</modifiedWord>
      <trackRevisions>false</trackRevisions>
    </reviewItem>
    <reviewItem>
      <errorID>cbcf53f4-4695-4d6a-8eb7-1d2a3a18f8aa</errorID>
      <errorWord>；</errorWord>
      <group>L1_Grammar</group>
      <groupName>语法问题</groupName>
      <ability>L2_Grammar</ability>
      <abilityName>语法错误</abilityName>
      <candidateList>
        <item>等措施；</item>
      </candidateList>
      <explain/>
      <paraID>586424EC</paraID>
      <start>292</start>
      <end>296</end>
      <status>modified</status>
      <modifiedWord>等措施；</modifiedWord>
      <trackRevisions>false</trackRevisions>
    </reviewItem>
    <reviewItem>
      <errorID>bc9ce935-6dce-4cdc-a1ff-57ac1181b2fd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1F53AA68</paraID>
      <start>0</start>
      <end>2</end>
      <status>ignored</status>
      <modifiedWord/>
      <trackRevisions>false</trackRevisions>
    </reviewItem>
    <reviewItem>
      <errorID>121b07a9-bd5e-4fbe-b73a-e07dc5b5cdc2</errorID>
      <errorWord>[2019]144号</errorWord>
      <group>L1_Knowledge</group>
      <groupName>知识性问题</groupName>
      <ability>L2_Knowledge</ability>
      <abilityName>其他知识</abilityName>
      <candidateList>
        <item>〔2019〕144号</item>
      </candidateList>
      <explain>发文字号格式错误。</explain>
      <paraID>1F53AA68</paraID>
      <start>27</start>
      <end>37</end>
      <status>modified</status>
      <modifiedWord>〔2019〕144号</modifiedWord>
      <trackRevisions>false</trackRevisions>
    </reviewItem>
    <reviewItem>
      <errorID>fc8663ef-6d9a-404b-b9d2-00df2f976386</errorID>
      <errorWord>[2019]144号</errorWord>
      <group>L1_Knowledge</group>
      <groupName>知识性问题</groupName>
      <ability>L2_Knowledge</ability>
      <abilityName>其他知识</abilityName>
      <candidateList>
        <item>〔2019〕144号</item>
      </candidateList>
      <explain>发文字号格式错误。</explain>
      <paraID>5DF7ED3C</paraID>
      <start>34</start>
      <end>44</end>
      <status>modified</status>
      <modifiedWord>〔2019〕144号</modifiedWord>
      <trackRevisions>false</trackRevisions>
    </reviewItem>
    <reviewItem>
      <errorID>e7197d81-be5a-43cd-8a15-11d142b9427b</errorID>
      <errorWord>）中的</errorWord>
      <group>L1_Grammar</group>
      <groupName>语法问题</groupName>
      <ability>L2_Grammar</ability>
      <abilityName>语法错误</abilityName>
      <candidateList>
        <item>）</item>
      </candidateList>
      <explain/>
      <paraID>5DF7ED3C</paraID>
      <start>44</start>
      <end>45</end>
      <status>modified</status>
      <modifiedWord>）</modifiedWord>
      <trackRevisions>false</trackRevisions>
    </reviewItem>
    <reviewItem>
      <errorID>e85edd50-b452-4b52-88ed-4c7277814321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1BA113E5</paraID>
      <start>0</start>
      <end>2</end>
      <status>ignored</status>
      <modifiedWord/>
      <trackRevisions>false</trackRevisions>
    </reviewItem>
    <reviewItem>
      <errorID>93a908cf-0fe0-47a6-bf7b-b4a5be729014</errorID>
      <errorWord>(</errorWord>
      <group>L1_Format</group>
      <groupName>格式问题</groupName>
      <ability>L2_HalfPunc</ability>
      <abilityName>全半角检查</abilityName>
      <candidateList>
        <item>（</item>
      </candidateList>
      <explain>文本全半角错误。</explain>
      <paraID>1BA113E5</paraID>
      <start>19</start>
      <end>20</end>
      <status>modified</status>
      <modifiedWord>（</modifiedWord>
      <trackRevisions>false</trackRevisions>
    </reviewItem>
    <reviewItem>
      <errorID>24ea1ceb-2656-4133-a976-3c5472048e44</errorID>
      <errorWord>[2019]56号</errorWord>
      <group>L1_Knowledge</group>
      <groupName>知识性问题</groupName>
      <ability>L2_Knowledge</ability>
      <abilityName>其他知识</abilityName>
      <candidateList>
        <item>〔2019〕56号</item>
      </candidateList>
      <explain>发文字号格式错误。</explain>
      <paraID>1BA113E5</paraID>
      <start>23</start>
      <end>32</end>
      <status>modified</status>
      <modifiedWord>〔2019〕56号</modifiedWord>
      <trackRevisions>false</trackRevisions>
    </reviewItem>
    <reviewItem>
      <errorID>ac3d35e9-bea2-4153-8955-6fd94e13fad0</errorID>
      <errorWord>)</errorWord>
      <group>L1_Format</group>
      <groupName>格式问题</groupName>
      <ability>L2_HalfPunc</ability>
      <abilityName>全半角检查</abilityName>
      <candidateList>
        <item>）</item>
      </candidateList>
      <explain>文本全半角错误。</explain>
      <paraID>1BA113E5</paraID>
      <start>32</start>
      <end>33</end>
      <status>modified</status>
      <modifiedWord>）</modifiedWord>
      <trackRevisions>false</trackRevisions>
    </reviewItem>
    <reviewItem>
      <errorID>fc0aaf9e-cfc1-44f3-9806-a31928ad06b7</errorID>
      <errorWord>》中</errorWord>
      <group>L1_Word</group>
      <groupName>字词问题</groupName>
      <ability>L2_Typo</ability>
      <abilityName>字词错误</abilityName>
      <candidateList>
        <item>》</item>
      </candidateList>
      <explain/>
      <paraID>521449E8</paraID>
      <start>15</start>
      <end>16</end>
      <status>modified</status>
      <modifiedWord>》</modifiedWord>
      <trackRevisions>false</trackRevisions>
    </reviewItem>
    <reviewItem>
      <errorID>a4707e69-d6d6-49ae-9f85-e1efdfe966da</errorID>
      <errorWord>工业园区的要求</errorWord>
      <group>L1_Grammar</group>
      <groupName>语法问题</groupName>
      <ability>L2_Grammar</ability>
      <abilityName>语法错误</abilityName>
      <candidateList>
        <item>工业园区</item>
      </candidateList>
      <explain/>
      <paraID>7F991666</paraID>
      <start>84</start>
      <end>91</end>
      <status>ignored</status>
      <modifiedWord/>
      <trackRevisions>false</trackRevisions>
    </reviewItem>
    <reviewItem>
      <errorID>06ac36c5-ffa1-4ca1-8a20-097651c67272</errorID>
      <errorWord>）中的</errorWord>
      <group>L1_Grammar</group>
      <groupName>语法问题</groupName>
      <ability>L2_Grammar</ability>
      <abilityName>语法错误</abilityName>
      <candidateList>
        <item>）</item>
      </candidateList>
      <explain/>
      <paraID>7F991666</paraID>
      <start>175</start>
      <end>176</end>
      <status>modified</status>
      <modifiedWord>）</modifiedWord>
      <trackRevisions>false</trackRevisions>
    </reviewItem>
    <reviewItem>
      <errorID>ba945f60-9f8c-4bdd-ae7d-23bdc8e23c90</errorID>
      <errorWord>）中的</errorWord>
      <group>L1_Grammar</group>
      <groupName>语法问题</groupName>
      <ability>L2_Grammar</ability>
      <abilityName>语法错误</abilityName>
      <candidateList>
        <item>）</item>
      </candidateList>
      <explain/>
      <paraID>7F991666</paraID>
      <start>223</start>
      <end>224</end>
      <status>modified</status>
      <modifiedWord>）</modifiedWord>
      <trackRevisions>false</trackRevisions>
    </reviewItem>
    <reviewItem>
      <errorID>1f65ce27-4bb9-4922-a8f5-c9231ae4c875</errorID>
      <errorWord>）中的</errorWord>
      <group>L1_Grammar</group>
      <groupName>语法问题</groupName>
      <ability>L2_Grammar</ability>
      <abilityName>语法错误</abilityName>
      <candidateList>
        <item>）</item>
      </candidateList>
      <explain/>
      <paraID>7F991666</paraID>
      <start>266</start>
      <end>267</end>
      <status>modified</status>
      <modifiedWord>）</modifiedWord>
      <trackRevisions>false</trackRevisions>
    </reviewItem>
    <reviewItem>
      <errorID>6248f0f6-da15-458b-b194-d0eab748f988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3D49BA22</paraID>
      <start>0</start>
      <end>2</end>
      <status>ignored</status>
      <modifiedWord/>
      <trackRevisions>false</trackRevisions>
    </reviewItem>
    <reviewItem>
      <errorID>3f4b3b4c-8b99-4dce-93ea-83859c3b418d</errorID>
      <errorWord>）中的</errorWord>
      <group>L1_Grammar</group>
      <groupName>语法问题</groupName>
      <ability>L2_Grammar</ability>
      <abilityName>语法错误</abilityName>
      <candidateList>
        <item>）</item>
      </candidateList>
      <explain/>
      <paraID>5FB05E95</paraID>
      <start>165</start>
      <end>166</end>
      <status>modified</status>
      <modifiedWord>）</modifiedWord>
      <trackRevisions>false</trackRevisions>
    </reviewItem>
    <reviewItem>
      <errorID>f1b5010f-a000-471b-9e53-f1313c5d6d91</errorID>
      <errorWord>）中的</errorWord>
      <group>L1_Grammar</group>
      <groupName>语法问题</groupName>
      <ability>L2_Grammar</ability>
      <abilityName>语法错误</abilityName>
      <candidateList>
        <item>）</item>
      </candidateList>
      <explain/>
      <paraID>5FB05E95</paraID>
      <start>211</start>
      <end>212</end>
      <status>modified</status>
      <modifiedWord>）</modifiedWord>
      <trackRevisions>false</trackRevisions>
    </reviewItem>
    <reviewItem>
      <errorID>9e7efd6b-b1a6-4eb3-9a78-b72570025979</errorID>
      <errorWord>）中的</errorWord>
      <group>L1_Grammar</group>
      <groupName>语法问题</groupName>
      <ability>L2_Grammar</ability>
      <abilityName>语法错误</abilityName>
      <candidateList>
        <item>）</item>
      </candidateList>
      <explain/>
      <paraID>5FB05E95</paraID>
      <start>254</start>
      <end>255</end>
      <status>modified</status>
      <modifiedWord>）</modifiedWord>
      <trackRevisions>false</trackRevisions>
    </reviewItem>
    <reviewItem>
      <errorID>c005f7dd-e668-4a94-a0c4-2981df2ddc71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5D121E97</paraID>
      <start>0</start>
      <end>2</end>
      <status>ignored</status>
      <modifiedWord/>
      <trackRevisions>false</trackRevisions>
    </reviewItem>
    <reviewItem>
      <errorID>d7438c6d-8d6d-41b8-a9bd-d714f567b89e</errorID>
      <errorWord>，</errorWord>
      <group>L1_Punc</group>
      <groupName>标点问题</groupName>
      <ability>L2_Punc</ability>
      <abilityName>标点符号检查</abilityName>
      <candidateList>
        <item>。</item>
      </candidateList>
      <explain/>
      <paraID>38F3E6C1</paraID>
      <start>37</start>
      <end>38</end>
      <status>modified</status>
      <modifiedWord>。</modifiedWord>
      <trackRevisions>false</trackRevisions>
    </reviewItem>
    <reviewItem>
      <errorID>12d045f8-3258-4f63-9804-3394c4d75784</errorID>
      <errorWord>）中的</errorWord>
      <group>L1_Grammar</group>
      <groupName>语法问题</groupName>
      <ability>L2_Grammar</ability>
      <abilityName>语法错误</abilityName>
      <candidateList>
        <item>）</item>
      </candidateList>
      <explain/>
      <paraID>12FAAE48</paraID>
      <start>75</start>
      <end>76</end>
      <status>modified</status>
      <modifiedWord>）</modifiedWord>
      <trackRevisions>false</trackRevisions>
    </reviewItem>
    <reviewItem>
      <errorID>5b3d06f7-784d-4ae7-9d5c-d7dae00a1ca6</errorID>
      <errorWord>）中的</errorWord>
      <group>L1_Grammar</group>
      <groupName>语法问题</groupName>
      <ability>L2_Grammar</ability>
      <abilityName>语法错误</abilityName>
      <candidateList>
        <item>）</item>
      </candidateList>
      <explain/>
      <paraID>12FAAE48</paraID>
      <start>121</start>
      <end>122</end>
      <status>modified</status>
      <modifiedWord>）</modifiedWord>
      <trackRevisions>false</trackRevisions>
    </reviewItem>
    <reviewItem>
      <errorID>8c9b1d2b-b60c-424f-9f48-5ebc8018234a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49010F43</paraID>
      <start>0</start>
      <end>2</end>
      <status>ignored</status>
      <modifiedWord/>
      <trackRevisions>false</trackRevisions>
    </reviewItem>
    <reviewItem>
      <errorID>8c969be4-08cf-4b8c-9d34-87a4c5c4bb48</errorID>
      <errorWord>。</errorWord>
      <group>L1_Grammar</group>
      <groupName>语法问题</groupName>
      <ability>L2_Grammar</ability>
      <abilityName>语法错误</abilityName>
      <candidateList>
        <item>工作。</item>
      </candidateList>
      <explain/>
      <paraID>57558D28</paraID>
      <start>195</start>
      <end>196</end>
      <status>ignored</status>
      <modifiedWord/>
      <trackRevisions>false</trackRevisions>
    </reviewItem>
    <reviewItem>
      <errorID>e1d77548-73c6-4fe7-86c3-3d664a84dd5d</errorID>
      <errorWord>降尘</errorWord>
      <group>L1_Word</group>
      <groupName>字词问题</groupName>
      <ability>L2_Typo</ability>
      <abilityName>字词错误</abilityName>
      <candidateList>
        <item>使降尘</item>
      </candidateList>
      <explain/>
      <paraID>57558D28</paraID>
      <start>239</start>
      <end>241</end>
      <status>ignored</status>
      <modifiedWord/>
      <trackRevisions>false</trackRevisions>
    </reviewItem>
    <reviewItem>
      <errorID>4f7057aa-2f0d-4707-a488-d1f206423daa</errorID>
      <errorWord>万元</errorWord>
      <group>L1_Punc</group>
      <groupName>标点问题</groupName>
      <ability>L2_Punc</ability>
      <abilityName>标点符号检查</abilityName>
      <candidateList>
        <item>万元。</item>
      </candidateList>
      <explain/>
      <paraID>5A08CBF2</paraID>
      <start>17</start>
      <end>20</end>
      <status>modified</status>
      <modifiedWord>万元。</modifiedWord>
      <trackRevisions>false</trackRevisions>
    </reviewItem>
    <reviewItem>
      <errorID>bfd033cd-9e0f-49cd-85a6-e768f72eda28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6B0A85DD</paraID>
      <start>0</start>
      <end>2</end>
      <status>ignored</status>
      <modifiedWord/>
      <trackRevisions>false</trackRevisions>
    </reviewItem>
    <reviewItem>
      <errorID>e756fd89-e908-4f66-a878-b60d5cb5fc38</errorID>
      <errorWord>(</errorWord>
      <group>L1_Format</group>
      <groupName>格式问题</groupName>
      <ability>L2_HalfPunc</ability>
      <abilityName>全半角检查</abilityName>
      <candidateList>
        <item>（</item>
      </candidateList>
      <explain>文本全半角错误。</explain>
      <paraID> 1C18EA1</paraID>
      <start>55</start>
      <end>56</end>
      <status>modified</status>
      <modifiedWord>（</modifiedWord>
      <trackRevisions>false</trackRevisions>
    </reviewItem>
    <reviewItem>
      <errorID>18b435f0-269f-4530-aee6-462c68dced9b</errorID>
      <errorWord>)</errorWord>
      <group>L1_Format</group>
      <groupName>格式问题</groupName>
      <ability>L2_HalfPunc</ability>
      <abilityName>全半角检查</abilityName>
      <candidateList>
        <item>）</item>
      </candidateList>
      <explain>文本全半角错误。</explain>
      <paraID> 1C18EA1</paraID>
      <start>67</start>
      <end>68</end>
      <status>modified</status>
      <modifiedWord>）</modifiedWord>
      <trackRevisions>false</trackRevisions>
    </reviewItem>
    <reviewItem>
      <errorID>70ca3417-2cb3-40a6-9528-f1144f46d6b2</errorID>
      <errorWord>（</errorWord>
      <group>L1_Punc</group>
      <groupName>标点问题</groupName>
      <ability>L2_Punc</ability>
      <abilityName>标点符号检查</abilityName>
      <candidateList/>
      <explain>同一形式括号套用。</explain>
      <paraID> 1C18EA1</paraID>
      <start>103</start>
      <end>104</end>
      <status>ignored</status>
      <modifiedWord/>
      <trackRevisions>false</trackRevisions>
    </reviewItem>
    <reviewItem>
      <errorID>f7afe187-dfec-48e8-9bbb-c3ed36c0c725</errorID>
      <errorWord>）</errorWord>
      <group>L1_Punc</group>
      <groupName>标点问题</groupName>
      <ability>L2_Punc</ability>
      <abilityName>标点符号检查</abilityName>
      <candidateList/>
      <explain>同一形式括号套用。</explain>
      <paraID> 1C18EA1</paraID>
      <start>108</start>
      <end>109</end>
      <status>ignored</status>
      <modifiedWord/>
      <trackRevisions>false</trackRevisions>
    </reviewItem>
    <reviewItem>
      <errorID>ad44e6bb-1a10-40e4-a331-7041734e5996</errorID>
      <errorWord>(</errorWord>
      <group>L1_Format</group>
      <groupName>格式问题</groupName>
      <ability>L2_HalfPunc</ability>
      <abilityName>全半角检查</abilityName>
      <candidateList>
        <item>（</item>
      </candidateList>
      <explain>文本全半角错误。</explain>
      <paraID> 1C18EA1</paraID>
      <start>141</start>
      <end>142</end>
      <status>modified</status>
      <modifiedWord>（</modifiedWord>
      <trackRevisions>false</trackRevisions>
    </reviewItem>
    <reviewItem>
      <errorID>d2c8eef3-6031-41c0-bce9-4ba273b3325b</errorID>
      <errorWord>)</errorWord>
      <group>L1_Format</group>
      <groupName>格式问题</groupName>
      <ability>L2_HalfPunc</ability>
      <abilityName>全半角检查</abilityName>
      <candidateList>
        <item>）</item>
      </candidateList>
      <explain>文本全半角错误。</explain>
      <paraID> 1C18EA1</paraID>
      <start>153</start>
      <end>154</end>
      <status>modified</status>
      <modifiedWord>）</modifiedWord>
      <trackRevisions>false</trackRevisions>
    </reviewItem>
    <reviewItem>
      <errorID>95a9a1ef-84e9-40e9-8bed-72ede7cfc010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21269299</paraID>
      <start>0</start>
      <end>2</end>
      <status>ignored</status>
      <modifiedWord/>
      <trackRevisions>false</trackRevisions>
    </reviewItem>
    <reviewItem>
      <errorID>57e91d94-254b-4f1c-86a1-c73f6564aa8a</errorID>
      <errorWord>）</errorWord>
      <group>L1_Punc</group>
      <groupName>标点问题</groupName>
      <ability>L2_Punc</ability>
      <abilityName>标点符号检查</abilityName>
      <candidateList>
        <item>%）</item>
      </candidateList>
      <explain/>
      <paraID>7DAFDB59</paraID>
      <start>18</start>
      <end>20</end>
      <status>modified</status>
      <modifiedWord>%）</modifiedWord>
      <trackRevisions>false</trackRevisions>
    </reviewItem>
    <reviewItem>
      <errorID>f5720a27-ab59-4ac2-8dbf-4bd8446a9239</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76FB35A3</paraID>
      <start>0</start>
      <end>2</end>
      <status>ignored</status>
      <modifiedWord/>
      <trackRevisions>false</trackRevisions>
    </reviewItem>
    <reviewItem>
      <errorID>ce049eec-9f59-4596-b031-fdfd40befa4e</errorID>
      <errorWord>m：</errorWord>
      <group>L1_Format</group>
      <groupName>格式问题</groupName>
      <ability>L2_Ordinal</ability>
      <abilityName>序号格式</abilityName>
      <candidateList>
        <item>m.</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42236383</paraID>
      <start>0</start>
      <end>2</end>
      <status>ignored</status>
      <modifiedWord/>
      <trackRevisions>false</trackRevisions>
    </reviewItem>
    <reviewItem>
      <errorID>ea509893-e8f2-47e4-89be-562e593c1a19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16A7A268</paraID>
      <start>0</start>
      <end>2</end>
      <status>ignored</status>
      <modifiedWord/>
      <trackRevisions>false</trackRevisions>
    </reviewItem>
    <reviewItem>
      <errorID>1b228925-37c8-4d74-b8cf-9fbb78fc87e6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1EAFC82E</paraID>
      <start>0</start>
      <end>2</end>
      <status>ignored</status>
      <modifiedWord/>
      <trackRevisions>false</trackRevisions>
    </reviewItem>
    <reviewItem>
      <errorID>803420b6-46fe-4e12-b4bf-714437f2d3b4</errorID>
      <errorWord>，</errorWord>
      <group>L1_Word</group>
      <groupName>字词问题</groupName>
      <ability>L2_Typo</ability>
      <abilityName>字词错误</abilityName>
      <candidateList>
        <item>，将</item>
      </candidateList>
      <explain/>
      <paraID>6ACB6847</paraID>
      <start>33</start>
      <end>35</end>
      <status>modified</status>
      <modifiedWord>，将</modifiedWord>
      <trackRevisions>false</trackRevisions>
    </reviewItem>
    <reviewItem>
      <errorID>07bc772c-8fc2-4b46-b9a1-6ad2ad4a2f39</errorID>
      <errorWord>烟气经</errorWord>
      <group>L1_Word</group>
      <groupName>字词问题</groupName>
      <ability>L2_Typo</ability>
      <abilityName>字词错误</abilityName>
      <candidateList>
        <item>烟气</item>
      </candidateList>
      <explain/>
      <paraID>5E4557D6</paraID>
      <start>114</start>
      <end>116</end>
      <status>modified</status>
      <modifiedWord>烟气</modifiedWord>
      <trackRevisions>false</trackRevisions>
    </reviewItem>
    <reviewItem>
      <errorID>aa337384-dc03-48f5-9cda-4c7807790861</errorID>
      <errorWord>转给</errorWord>
      <group>L1_Word</group>
      <groupName>字词问题</groupName>
      <ability>L2_Typo</ability>
      <abilityName>字词错误</abilityName>
      <candidateList>
        <item>传给</item>
      </candidateList>
      <explain>存在发音相同字词的误用。</explain>
      <paraID>2EA7CF2B</paraID>
      <start>62</start>
      <end>64</end>
      <status>modified</status>
      <modifiedWord>传给</modifiedWord>
      <trackRevisions>false</trackRevisions>
    </reviewItem>
    <reviewItem>
      <errorID>f7992d02-2ac7-4d76-9132-e9d1cc0c4116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6CEBF113</paraID>
      <start>0</start>
      <end>2</end>
      <status>ignored</status>
      <modifiedWord/>
      <trackRevisions>false</trackRevisions>
    </reviewItem>
    <reviewItem>
      <errorID>2831f2b6-5189-4f87-a97e-21c5e60ba21e</errorID>
      <errorWord>其它</errorWord>
      <group>L1_Word</group>
      <groupName>字词问题</groupName>
      <ability>L2_Typo</ability>
      <abilityName>字词错误</abilityName>
      <candidateList>
        <item>其他</item>
      </candidateList>
      <explain/>
      <paraID>7BBF98CD</paraID>
      <start>3</start>
      <end>5</end>
      <status>ignored</status>
      <modifiedWord/>
      <trackRevisions>false</trackRevisions>
    </reviewItem>
    <reviewItem>
      <errorID>88c4febb-0621-4ebd-ad99-d978c1dfdb12</errorID>
      <errorWord>(</errorWord>
      <group>L1_Format</group>
      <groupName>格式问题</groupName>
      <ability>L2_HalfPunc</ability>
      <abilityName>全半角检查</abilityName>
      <candidateList>
        <item>（</item>
      </candidateList>
      <explain>文本全半角错误。</explain>
      <paraID>4B9320AA</paraID>
      <start>2</start>
      <end>3</end>
      <status>modified</status>
      <modifiedWord>（</modifiedWord>
      <trackRevisions>false</trackRevisions>
    </reviewItem>
    <reviewItem>
      <errorID>f9fbe09f-da2e-4444-b928-508995be99d6</errorID>
      <errorWord>)</errorWord>
      <group>L1_Format</group>
      <groupName>格式问题</groupName>
      <ability>L2_HalfPunc</ability>
      <abilityName>全半角检查</abilityName>
      <candidateList>
        <item>）</item>
      </candidateList>
      <explain>文本全半角错误。</explain>
      <paraID>4B9320AA</paraID>
      <start>4</start>
      <end>5</end>
      <status>modified</status>
      <modifiedWord>）</modifiedWord>
      <trackRevisions>false</trackRevisions>
    </reviewItem>
    <reviewItem>
      <errorID>21cf6e92-b5ec-4f20-8dd0-3f1691fdc024</errorID>
      <errorWord>(</errorWord>
      <group>L1_Format</group>
      <groupName>格式问题</groupName>
      <ability>L2_HalfPunc</ability>
      <abilityName>全半角检查</abilityName>
      <candidateList>
        <item>（</item>
      </candidateList>
      <explain>文本全半角错误。</explain>
      <paraID>42D146FB</paraID>
      <start>2</start>
      <end>3</end>
      <status>modified</status>
      <modifiedWord>（</modifiedWord>
      <trackRevisions>false</trackRevisions>
    </reviewItem>
    <reviewItem>
      <errorID>e4c610c4-34ac-4475-9512-a3be3519c247</errorID>
      <errorWord>)</errorWord>
      <group>L1_Format</group>
      <groupName>格式问题</groupName>
      <ability>L2_HalfPunc</ability>
      <abilityName>全半角检查</abilityName>
      <candidateList>
        <item>）</item>
      </candidateList>
      <explain>文本全半角错误。</explain>
      <paraID>42D146FB</paraID>
      <start>4</start>
      <end>5</end>
      <status>modified</status>
      <modifiedWord>）</modifiedWord>
      <trackRevisions>false</trackRevisions>
    </reviewItem>
    <reviewItem>
      <errorID>e8d15806-e642-429b-b776-287c60e99f21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2922D72C</paraID>
      <start>0</start>
      <end>2</end>
      <status>ignored</status>
      <modifiedWord/>
      <trackRevisions>false</trackRevisions>
    </reviewItem>
    <reviewItem>
      <errorID>8d6bf9f5-9a75-4f98-bbe7-1db69bd8f6d1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C5097F2</paraID>
      <start>0</start>
      <end>2</end>
      <status>ignored</status>
      <modifiedWord/>
      <trackRevisions>false</trackRevisions>
    </reviewItem>
    <reviewItem>
      <errorID>6b8d9f1e-a952-413a-b544-0e5190cdeffb</errorID>
      <errorWord>监测报告</errorWord>
      <group>L1_Word</group>
      <groupName>字词问题</groupName>
      <ability>L2_Typo</ability>
      <abilityName>字词错误</abilityName>
      <candidateList>
        <item>检测报告</item>
      </candidateList>
      <explain/>
      <paraID>38D1B237</paraID>
      <start>111</start>
      <end>115</end>
      <status>ignored</status>
      <modifiedWord/>
      <trackRevisions>false</trackRevisions>
    </reviewItem>
    <reviewItem>
      <errorID>40f5410e-cb24-4875-86ab-e85e9141bf36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77E97F40</paraID>
      <start>0</start>
      <end>2</end>
      <status>ignored</status>
      <modifiedWord/>
      <trackRevisions>false</trackRevisions>
    </reviewItem>
    <reviewItem>
      <errorID>7471ba2b-1b3e-4a41-af6b-8735ec7a5103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3ABAB65F</paraID>
      <start>0</start>
      <end>2</end>
      <status>ignored</status>
      <modifiedWord/>
      <trackRevisions>false</trackRevisions>
    </reviewItem>
    <reviewItem>
      <errorID>65c352f7-6732-4d68-85d0-3ea162c6ecc4</errorID>
      <errorWord>表</errorWord>
      <group>L1_Punc</group>
      <groupName>标点问题</groupName>
      <ability>L2_Punc</ability>
      <abilityName>标点符号检查</abilityName>
      <candidateList>
        <item>表：</item>
      </candidateList>
      <explain/>
      <paraID>2DA93D7D</paraID>
      <start>18</start>
      <end>19</end>
      <status>ignored</status>
      <modifiedWord/>
      <trackRevisions>false</trackRevisions>
    </reviewItem>
    <reviewItem>
      <errorID>ceed873e-5582-4c81-a087-5217899e8b00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23D2F964</paraID>
      <start>0</start>
      <end>2</end>
      <status>ignored</status>
      <modifiedWord/>
      <trackRevisions>false</trackRevisions>
    </reviewItem>
    <reviewItem>
      <errorID>f40b87d8-297a-4c26-ab6b-29a124425afb</errorID>
      <errorWord>噪声</errorWord>
      <group>L1_Grammar</group>
      <groupName>语法问题</groupName>
      <ability>L2_Grammar</ability>
      <abilityName>语法错误</abilityName>
      <candidateList>
        <item>场界环境噪声</item>
      </candidateList>
      <explain/>
      <paraID>12C7BF15</paraID>
      <start>15</start>
      <end>17</end>
      <status>ignored</status>
      <modifiedWord/>
      <trackRevisions>false</trackRevisions>
    </reviewItem>
    <reviewItem>
      <errorID>29852e9b-bfdb-496a-a212-490e292265c3</errorID>
      <errorWord>GB12523</errorWord>
      <group>L1_Word</group>
      <groupName>字词问题</groupName>
      <ability>L2_Typo</ability>
      <abilityName>字词错误</abilityName>
      <candidateList>
        <item>GB 12523</item>
      </candidateList>
      <explain/>
      <paraID>12C7BF15</paraID>
      <start>23</start>
      <end>31</end>
      <status>modified</status>
      <modifiedWord>GB 12523</modifiedWord>
      <trackRevisions>false</trackRevisions>
    </reviewItem>
    <reviewItem>
      <errorID>58560cef-526a-44ed-84bc-255c40e93a21</errorID>
      <errorWord>(GB12348-2008)</errorWord>
      <group>L1_Punc</group>
      <groupName>标点问题</groupName>
      <ability>L2_Punc</ability>
      <abilityName>标点符号检查</abilityName>
      <candidateList>
        <item>（GB 12348-2008）</item>
      </candidateList>
      <explain/>
      <paraID>12C7BF15</paraID>
      <start>66</start>
      <end>81</end>
      <status>modified</status>
      <modifiedWord>（GB 12348-2008）</modifiedWord>
      <trackRevisions>false</trackRevisions>
    </reviewItem>
    <reviewItem>
      <errorID>b708a984-edf6-46b1-88e7-3a75ad91699d</errorID>
      <errorWord>(</errorWord>
      <group>L1_Format</group>
      <groupName>格式问题</groupName>
      <ability>L2_HalfPunc</ability>
      <abilityName>全半角检查</abilityName>
      <candidateList>
        <item>（</item>
      </candidateList>
      <explain>文本全半角错误。</explain>
      <paraID>3B985D91</paraID>
      <start>16</start>
      <end>17</end>
      <status>modified</status>
      <modifiedWord>（</modifiedWord>
      <trackRevisions>false</trackRevisions>
    </reviewItem>
    <reviewItem>
      <errorID>ae7ad726-68c4-4afa-8255-8de5a9a2cde3</errorID>
      <errorWord>（</errorWord>
      <group>L1_Format</group>
      <groupName>格式问题</groupName>
      <ability>L2_HalfPunc</ability>
      <abilityName>全半角检查</abilityName>
      <candidateList>
        <item>(</item>
      </candidateList>
      <explain>文本全半角错误。</explain>
      <paraID>456B9DAF</paraID>
      <start>4</start>
      <end>5</end>
      <status>ignored</status>
      <modifiedWord/>
      <trackRevisions>false</trackRevisions>
    </reviewItem>
    <reviewItem>
      <errorID>9717023a-b36f-413d-80f4-21b34aae7a58</errorID>
      <errorWord>）</errorWord>
      <group>L1_Format</group>
      <groupName>格式问题</groupName>
      <ability>L2_HalfPunc</ability>
      <abilityName>全半角检查</abilityName>
      <candidateList>
        <item>)</item>
      </candidateList>
      <explain>文本全半角错误。</explain>
      <paraID>456B9DAF</paraID>
      <start>6</start>
      <end>7</end>
      <status>ignored</status>
      <modifiedWord/>
      <trackRevisions>false</trackRevisions>
    </reviewItem>
    <reviewItem>
      <errorID>ce9e3b42-8449-411f-9696-9b6d26f96f2e</errorID>
      <errorWord>（</errorWord>
      <group>L1_Format</group>
      <groupName>格式问题</groupName>
      <ability>L2_HalfPunc</ability>
      <abilityName>全半角检查</abilityName>
      <candidateList>
        <item>(</item>
      </candidateList>
      <explain>文本全半角错误。</explain>
      <paraID>311A6582</paraID>
      <start>4</start>
      <end>5</end>
      <status>ignored</status>
      <modifiedWord/>
      <trackRevisions>false</trackRevisions>
    </reviewItem>
    <reviewItem>
      <errorID>0d961084-e9a6-4686-94b9-304e0dd9653e</errorID>
      <errorWord>）</errorWord>
      <group>L1_Format</group>
      <groupName>格式问题</groupName>
      <ability>L2_HalfPunc</ability>
      <abilityName>全半角检查</abilityName>
      <candidateList>
        <item>)</item>
      </candidateList>
      <explain>文本全半角错误。</explain>
      <paraID>311A6582</paraID>
      <start>6</start>
      <end>7</end>
      <status>ignored</status>
      <modifiedWord/>
      <trackRevisions>false</trackRevisions>
    </reviewItem>
    <reviewItem>
      <errorID>6188b889-973c-4818-a0be-596a68f3a816</errorID>
      <errorWord>（</errorWord>
      <group>L1_Format</group>
      <groupName>格式问题</groupName>
      <ability>L2_HalfPunc</ability>
      <abilityName>全半角检查</abilityName>
      <candidateList>
        <item>(</item>
      </candidateList>
      <explain>文本全半角错误。</explain>
      <paraID>6892AB60</paraID>
      <start>4</start>
      <end>5</end>
      <status>ignored</status>
      <modifiedWord/>
      <trackRevisions>false</trackRevisions>
    </reviewItem>
    <reviewItem>
      <errorID>b77bcf2a-b325-4ace-8efc-9ad7ea82047d</errorID>
      <errorWord>）</errorWord>
      <group>L1_Format</group>
      <groupName>格式问题</groupName>
      <ability>L2_HalfPunc</ability>
      <abilityName>全半角检查</abilityName>
      <candidateList>
        <item>)</item>
      </candidateList>
      <explain>文本全半角错误。</explain>
      <paraID>6892AB60</paraID>
      <start>6</start>
      <end>7</end>
      <status>ignored</status>
      <modifiedWord/>
      <trackRevisions>false</trackRevisions>
    </reviewItem>
    <reviewItem>
      <errorID>78590b15-eb5e-4638-bc07-a55aa8d1303a</errorID>
      <errorWord>（</errorWord>
      <group>L1_Format</group>
      <groupName>格式问题</groupName>
      <ability>L2_HalfPunc</ability>
      <abilityName>全半角检查</abilityName>
      <candidateList>
        <item>(</item>
      </candidateList>
      <explain>文本全半角错误。</explain>
      <paraID>15E39B84</paraID>
      <start>4</start>
      <end>5</end>
      <status>ignored</status>
      <modifiedWord/>
      <trackRevisions>false</trackRevisions>
    </reviewItem>
    <reviewItem>
      <errorID>95e3fdcc-7248-4362-8126-9bc3877592b4</errorID>
      <errorWord>）</errorWord>
      <group>L1_Format</group>
      <groupName>格式问题</groupName>
      <ability>L2_HalfPunc</ability>
      <abilityName>全半角检查</abilityName>
      <candidateList>
        <item>)</item>
      </candidateList>
      <explain>文本全半角错误。</explain>
      <paraID>15E39B84</paraID>
      <start>6</start>
      <end>7</end>
      <status>ignored</status>
      <modifiedWord/>
      <trackRevisions>false</trackRevisions>
    </reviewItem>
    <reviewItem>
      <errorID>86dd1b59-87b8-47c2-b1d8-f4f485bdd44d</errorID>
      <errorWord>（</errorWord>
      <group>L1_Format</group>
      <groupName>格式问题</groupName>
      <ability>L2_HalfPunc</ability>
      <abilityName>全半角检查</abilityName>
      <candidateList>
        <item>(</item>
      </candidateList>
      <explain>文本全半角错误。</explain>
      <paraID>569A0131</paraID>
      <start>4</start>
      <end>5</end>
      <status>ignored</status>
      <modifiedWord/>
      <trackRevisions>false</trackRevisions>
    </reviewItem>
    <reviewItem>
      <errorID>c95bb34f-c5aa-4ed1-b4ab-d4afa13a8a69</errorID>
      <errorWord>）</errorWord>
      <group>L1_Format</group>
      <groupName>格式问题</groupName>
      <ability>L2_HalfPunc</ability>
      <abilityName>全半角检查</abilityName>
      <candidateList>
        <item>)</item>
      </candidateList>
      <explain>文本全半角错误。</explain>
      <paraID>569A0131</paraID>
      <start>6</start>
      <end>7</end>
      <status>ignored</status>
      <modifiedWord/>
      <trackRevisions>false</trackRevisions>
    </reviewItem>
    <reviewItem>
      <errorID>3883c0e2-80ab-43a3-9d03-eee897447134</errorID>
      <errorWord>（</errorWord>
      <group>L1_Format</group>
      <groupName>格式问题</groupName>
      <ability>L2_HalfPunc</ability>
      <abilityName>全半角检查</abilityName>
      <candidateList>
        <item>(</item>
      </candidateList>
      <explain>文本全半角错误。</explain>
      <paraID>5681B037</paraID>
      <start>4</start>
      <end>5</end>
      <status>ignored</status>
      <modifiedWord/>
      <trackRevisions>false</trackRevisions>
    </reviewItem>
    <reviewItem>
      <errorID>424dc7a7-1063-440e-b7e9-53234e4c53f4</errorID>
      <errorWord>）</errorWord>
      <group>L1_Format</group>
      <groupName>格式问题</groupName>
      <ability>L2_HalfPunc</ability>
      <abilityName>全半角检查</abilityName>
      <candidateList>
        <item>)</item>
      </candidateList>
      <explain>文本全半角错误。</explain>
      <paraID>5681B037</paraID>
      <start>6</start>
      <end>7</end>
      <status>ignored</status>
      <modifiedWord/>
      <trackRevisions>false</trackRevisions>
    </reviewItem>
    <reviewItem>
      <errorID>9547a649-f990-4b1a-8c7a-a31762e24e12</errorID>
      <errorWord>；</errorWord>
      <group>L1_Punc</group>
      <groupName>标点问题</groupName>
      <ability>L2_Punc</ability>
      <abilityName>标点符号检查</abilityName>
      <candidateList>
        <item>。</item>
      </candidateList>
      <explain/>
      <paraID>5A73F1DE</paraID>
      <start>50</start>
      <end>51</end>
      <status>modified</status>
      <modifiedWord>。</modifiedWord>
      <trackRevisions>false</trackRevisions>
    </reviewItem>
    <reviewItem>
      <errorID>97dab440-25a7-45d3-9419-6ab08ba5a364</errorID>
      <errorWord>(</errorWord>
      <group>L1_Format</group>
      <groupName>格式问题</groupName>
      <ability>L2_HalfPunc</ability>
      <abilityName>全半角检查</abilityName>
      <candidateList>
        <item>（</item>
      </candidateList>
      <explain>文本全半角错误。</explain>
      <paraID>4510A836</paraID>
      <start>21</start>
      <end>22</end>
      <status>modified</status>
      <modifiedWord>（</modifiedWord>
      <trackRevisions>false</trackRevisions>
    </reviewItem>
    <reviewItem>
      <errorID>bf17edf2-2a79-45be-a8fd-a2669d148bee</errorID>
      <errorWord>)</errorWord>
      <group>L1_Format</group>
      <groupName>格式问题</groupName>
      <ability>L2_HalfPunc</ability>
      <abilityName>全半角检查</abilityName>
      <candidateList>
        <item>）</item>
      </candidateList>
      <explain>文本全半角错误。</explain>
      <paraID>4510A836</paraID>
      <start>34</start>
      <end>35</end>
      <status>modified</status>
      <modifiedWord>）</modifiedWord>
      <trackRevisions>false</trackRevisions>
    </reviewItem>
    <reviewItem>
      <errorID>9a04ebe6-6201-473d-9bcd-965ad1235714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4E58D903</paraID>
      <start>0</start>
      <end>2</end>
      <status>ignored</status>
      <modifiedWord/>
      <trackRevisions>false</trackRevisions>
    </reviewItem>
    <reviewItem>
      <errorID>4b200568-291d-43e5-bc8c-d39e70b950df</errorID>
      <errorWord>、</errorWord>
      <group>L1_Punc</group>
      <groupName>标点问题</groupName>
      <ability>L2_Punc</ability>
      <abilityName>标点符号检查</abilityName>
      <candidateList>
        <item>，</item>
      </candidateList>
      <explain/>
      <paraID>72715B37</paraID>
      <start>28</start>
      <end>29</end>
      <status>modified</status>
      <modifiedWord>，</modifiedWord>
      <trackRevisions>false</trackRevisions>
    </reviewItem>
    <reviewItem>
      <errorID>6f7b15ec-015c-49fd-91aa-8b026614ecec</errorID>
      <errorWord>、</errorWord>
      <group>L1_Punc</group>
      <groupName>标点问题</groupName>
      <ability>L2_Punc</ability>
      <abilityName>标点符号检查</abilityName>
      <candidateList>
        <item>，</item>
      </candidateList>
      <explain/>
      <paraID>72715B37</paraID>
      <start>41</start>
      <end>42</end>
      <status>modified</status>
      <modifiedWord>，</modifiedWord>
      <trackRevisions>false</trackRevisions>
    </reviewItem>
    <reviewItem>
      <errorID>6a69281e-90eb-481c-b11a-bdbe69817c0b</errorID>
      <errorWord>，</errorWord>
      <group>L1_Punc</group>
      <groupName>标点问题</groupName>
      <ability>L2_Punc</ability>
      <abilityName>标点符号检查</abilityName>
      <candidateList>
        <item>。</item>
      </candidateList>
      <explain/>
      <paraID>72715B37</paraID>
      <start>65</start>
      <end>66</end>
      <status>modified</status>
      <modifiedWord>。</modifiedWord>
      <trackRevisions>false</trackRevisions>
    </reviewItem>
    <reviewItem>
      <errorID>165db0bb-cc42-4633-8284-8fc5075c29dc</errorID>
      <errorWord>粮食</errorWord>
      <group>L1_Word</group>
      <groupName>字词问题</groupName>
      <ability>L2_Typo</ability>
      <abilityName>字词错误</abilityName>
      <candidateList>
        <item>玉米</item>
      </candidateList>
      <explain/>
      <paraID>72782C1B</paraID>
      <start>74</start>
      <end>76</end>
      <status>modified</status>
      <modifiedWord>玉米</modifiedWord>
      <trackRevisions>false</trackRevisions>
    </reviewItem>
    <reviewItem>
      <errorID>09e5e0ac-4dff-42d4-b7e1-087fa81993b4</errorID>
      <errorWord>总</errorWord>
      <group>L1_Word</group>
      <groupName>字词问题</groupName>
      <ability>L2_Typo</ability>
      <abilityName>字词错误</abilityName>
      <candidateList>
        <item>总计</item>
      </candidateList>
      <explain/>
      <paraID>72782C1B</paraID>
      <start>83</start>
      <end>85</end>
      <status>modified</status>
      <modifiedWord>总计</modifiedWord>
      <trackRevisions>false</trackRevisions>
    </reviewItem>
    <reviewItem>
      <errorID>c1d808f6-15f9-4fb4-951b-92cfc8cff034</errorID>
      <errorWord>（</errorWord>
      <group>L1_Punc</group>
      <groupName>标点问题</groupName>
      <ability>L2_Punc</ability>
      <abilityName>标点符号检查</abilityName>
      <candidateList>
        <item>》（</item>
      </candidateList>
      <explain/>
      <paraID>61A4B925</paraID>
      <start>44</start>
      <end>45</end>
      <status>ignored</status>
      <modifiedWord/>
      <trackRevisions>false</trackRevisions>
    </reviewItem>
    <reviewItem>
      <errorID>825628c2-1c14-4d2a-b791-8aea3d4cde5a</errorID>
      <errorWord>》</errorWord>
      <group>L1_Punc</group>
      <groupName>标点问题</groupName>
      <ability>L2_Punc</ability>
      <abilityName>标点符号检查</abilityName>
      <candidateList>
        <item/>
      </candidateList>
      <explain/>
      <paraID>61A4B925</paraID>
      <start>55</start>
      <end>56</end>
      <status>ignored</status>
      <modifiedWord/>
      <trackRevisions>false</trackRevisions>
    </reviewItem>
    <reviewItem>
      <errorID>aaaeba3c-0fb4-4c47-aca3-bec881e4e0ce</errorID>
      <errorWord>格</errorWord>
      <group>L1_Word</group>
      <groupName>字词问题</groupName>
      <ability>L2_Typo</ability>
      <abilityName>字词错误</abilityName>
      <candidateList>
        <item>隔</item>
      </candidateList>
      <explain/>
      <paraID>61A4B925</paraID>
      <start>156</start>
      <end>157</end>
      <status>ignored</status>
      <modifiedWord/>
      <trackRevisions>false</trackRevisions>
    </reviewItem>
    <reviewItem>
      <errorID>75b797a3-cb24-490b-9358-c26cfb27ac55</errorID>
      <errorWord>(</errorWord>
      <group>L1_Format</group>
      <groupName>格式问题</groupName>
      <ability>L2_HalfPunc</ability>
      <abilityName>全半角检查</abilityName>
      <candidateList>
        <item>（</item>
      </candidateList>
      <explain>文本全半角错误。</explain>
      <paraID>3FEB9FFE</paraID>
      <start>27</start>
      <end>28</end>
      <status>modified</status>
      <modifiedWord>（</modifiedWord>
      <trackRevisions>false</trackRevisions>
    </reviewItem>
    <reviewItem>
      <errorID>8c730c6a-c3ad-4667-b850-4b986be1903b</errorID>
      <errorWord>)</errorWord>
      <group>L1_Format</group>
      <groupName>格式问题</groupName>
      <ability>L2_HalfPunc</ability>
      <abilityName>全半角检查</abilityName>
      <candidateList>
        <item>）</item>
      </candidateList>
      <explain>文本全半角错误。</explain>
      <paraID>3FEB9FFE</paraID>
      <start>39</start>
      <end>40</end>
      <status>modified</status>
      <modifiedWord>）</modifiedWord>
      <trackRevisions>false</trackRevisions>
    </reviewItem>
    <reviewItem>
      <errorID>21165ed8-ac14-4085-9bed-6b27099aaadd</errorID>
      <errorWord>料</errorWord>
      <group>L1_Word</group>
      <groupName>字词问题</groupName>
      <ability>L2_Typo</ability>
      <abilityName>字词错误</abilityName>
      <candidateList>
        <item>料消</item>
      </candidateList>
      <explain/>
      <paraID>2970C30B</paraID>
      <start>9</start>
      <end>11</end>
      <status>modified</status>
      <modifiedWord>料消</modifiedWord>
      <trackRevisions>false</trackRevisions>
    </reviewItem>
    <reviewItem>
      <errorID>f0d59b6e-3e3e-4b38-851b-d454acdea5d2</errorID>
      <errorWord>；；</errorWord>
      <group>L1_Punc</group>
      <groupName>标点问题</groupName>
      <ability>L2_Punc</ability>
      <abilityName>标点符号检查</abilityName>
      <candidateList>
        <item>；</item>
      </candidateList>
      <explain/>
      <paraID>2A420166</paraID>
      <start>24</start>
      <end>25</end>
      <status>modified</status>
      <modifiedWord>；</modifiedWord>
      <trackRevisions>false</trackRevisions>
    </reviewItem>
    <reviewItem>
      <errorID>408b859d-aea3-4d12-8a77-86482978eb1c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3745CBA6</paraID>
      <start>0</start>
      <end>2</end>
      <status>modified</status>
      <modifiedWord>e）</modifiedWord>
      <trackRevisions>false</trackRevisions>
    </reviewItem>
    <reviewItem>
      <errorID>e239cb9a-f90d-44eb-baf9-06c106646d42</errorID>
      <errorWord>(</errorWord>
      <group>L1_Format</group>
      <groupName>格式问题</groupName>
      <ability>L2_HalfPunc</ability>
      <abilityName>全半角检查</abilityName>
      <candidateList>
        <item>（</item>
      </candidateList>
      <explain>文本全半角错误。</explain>
      <paraID>287E80AB</paraID>
      <start>4</start>
      <end>5</end>
      <status>modified</status>
      <modifiedWord>（</modifiedWord>
      <trackRevisions>false</trackRevisions>
    </reviewItem>
    <reviewItem>
      <errorID>7d19386d-c696-4f32-91fe-8675627ceebe</errorID>
      <errorWord>)</errorWord>
      <group>L1_Format</group>
      <groupName>格式问题</groupName>
      <ability>L2_HalfPunc</ability>
      <abilityName>全半角检查</abilityName>
      <candidateList>
        <item>）</item>
      </candidateList>
      <explain>文本全半角错误。</explain>
      <paraID>287E80AB</paraID>
      <start>6</start>
      <end>7</end>
      <status>modified</status>
      <modifiedWord>）</modifiedWord>
      <trackRevisions>false</trackRevisions>
    </reviewItem>
    <reviewItem>
      <errorID>2e199316-574c-4d98-b240-3c5f68da0fef</errorID>
      <errorWord>(</errorWord>
      <group>L1_Format</group>
      <groupName>格式问题</groupName>
      <ability>L2_HalfPunc</ability>
      <abilityName>全半角检查</abilityName>
      <candidateList>
        <item>（</item>
      </candidateList>
      <explain>文本全半角错误。</explain>
      <paraID>1C917167</paraID>
      <start>4</start>
      <end>5</end>
      <status>modified</status>
      <modifiedWord>（</modifiedWord>
      <trackRevisions>false</trackRevisions>
    </reviewItem>
    <reviewItem>
      <errorID>144f7b67-004b-4c07-bbca-af6df85fa809</errorID>
      <errorWord>)</errorWord>
      <group>L1_Format</group>
      <groupName>格式问题</groupName>
      <ability>L2_HalfPunc</ability>
      <abilityName>全半角检查</abilityName>
      <candidateList>
        <item>）</item>
      </candidateList>
      <explain>文本全半角错误。</explain>
      <paraID>1C917167</paraID>
      <start>9</start>
      <end>10</end>
      <status>modified</status>
      <modifiedWord>）</modifiedWord>
      <trackRevisions>false</trackRevisions>
    </reviewItem>
    <reviewItem>
      <errorID>18d54bf8-bb69-4988-9fe8-ac008078ae72</errorID>
      <errorWord>(</errorWord>
      <group>L1_Format</group>
      <groupName>格式问题</groupName>
      <ability>L2_HalfPunc</ability>
      <abilityName>全半角检查</abilityName>
      <candidateList>
        <item>（</item>
      </candidateList>
      <explain>文本全半角错误。</explain>
      <paraID>6A1E6459</paraID>
      <start>4</start>
      <end>5</end>
      <status>modified</status>
      <modifiedWord>（</modifiedWord>
      <trackRevisions>false</trackRevisions>
    </reviewItem>
    <reviewItem>
      <errorID>8b2c1d0b-a873-4c65-a597-8790086e3834</errorID>
      <errorWord>)</errorWord>
      <group>L1_Format</group>
      <groupName>格式问题</groupName>
      <ability>L2_HalfPunc</ability>
      <abilityName>全半角检查</abilityName>
      <candidateList>
        <item>）</item>
      </candidateList>
      <explain>文本全半角错误。</explain>
      <paraID>6A1E6459</paraID>
      <start>10</start>
      <end>11</end>
      <status>modified</status>
      <modifiedWord>）</modifiedWord>
      <trackRevisions>false</trackRevisions>
    </reviewItem>
    <reviewItem>
      <errorID>350d0d56-c2f9-42c2-a15d-b3253fadc54b</errorID>
      <errorWord>(</errorWord>
      <group>L1_Format</group>
      <groupName>格式问题</groupName>
      <ability>L2_HalfPunc</ability>
      <abilityName>全半角检查</abilityName>
      <candidateList>
        <item>（</item>
      </candidateList>
      <explain>文本全半角错误。</explain>
      <paraID> 144DC3E</paraID>
      <start>3</start>
      <end>4</end>
      <status>modified</status>
      <modifiedWord>（</modifiedWord>
      <trackRevisions>false</trackRevisions>
    </reviewItem>
    <reviewItem>
      <errorID>e0df750e-cffe-470d-92bb-e4a95e03034d</errorID>
      <errorWord>)</errorWord>
      <group>L1_Format</group>
      <groupName>格式问题</groupName>
      <ability>L2_HalfPunc</ability>
      <abilityName>全半角检查</abilityName>
      <candidateList>
        <item>）</item>
      </candidateList>
      <explain>文本全半角错误。</explain>
      <paraID> 144DC3E</paraID>
      <start>7</start>
      <end>8</end>
      <status>modified</status>
      <modifiedWord>）</modifiedWord>
      <trackRevisions>false</trackRevisions>
    </reviewItem>
    <reviewItem>
      <errorID>be271194-08ee-4649-8527-5e6776701486</errorID>
      <errorWord>(</errorWord>
      <group>L1_Format</group>
      <groupName>格式问题</groupName>
      <ability>L2_HalfPunc</ability>
      <abilityName>全半角检查</abilityName>
      <candidateList>
        <item>（</item>
      </candidateList>
      <explain>文本全半角错误。</explain>
      <paraID>65B67868</paraID>
      <start>2</start>
      <end>3</end>
      <status>modified</status>
      <modifiedWord>（</modifiedWord>
      <trackRevisions>false</trackRevisions>
    </reviewItem>
    <reviewItem>
      <errorID>db3f9770-05d8-4921-8937-6baa1a0f2785</errorID>
      <errorWord>)</errorWord>
      <group>L1_Format</group>
      <groupName>格式问题</groupName>
      <ability>L2_HalfPunc</ability>
      <abilityName>全半角检查</abilityName>
      <candidateList>
        <item>）</item>
      </candidateList>
      <explain>文本全半角错误。</explain>
      <paraID>65B67868</paraID>
      <start>4</start>
      <end>5</end>
      <status>modified</status>
      <modifiedWord>）</modifiedWord>
      <trackRevisions>false</trackRevisions>
    </reviewItem>
    <reviewItem>
      <errorID>ccbf3d7e-0a94-4ae6-9e77-debd2fdce18f</errorID>
      <errorWord>(</errorWord>
      <group>L1_Format</group>
      <groupName>格式问题</groupName>
      <ability>L2_HalfPunc</ability>
      <abilityName>全半角检查</abilityName>
      <candidateList>
        <item>（</item>
      </candidateList>
      <explain>文本全半角错误。</explain>
      <paraID>16F53368</paraID>
      <start>4</start>
      <end>5</end>
      <status>modified</status>
      <modifiedWord>（</modifiedWord>
      <trackRevisions>false</trackRevisions>
    </reviewItem>
    <reviewItem>
      <errorID>2ea02c27-721d-4b98-a5ae-bc1fb0ba74fa</errorID>
      <errorWord>)</errorWord>
      <group>L1_Format</group>
      <groupName>格式问题</groupName>
      <ability>L2_HalfPunc</ability>
      <abilityName>全半角检查</abilityName>
      <candidateList>
        <item>）</item>
      </candidateList>
      <explain>文本全半角错误。</explain>
      <paraID>16F53368</paraID>
      <start>9</start>
      <end>10</end>
      <status>modified</status>
      <modifiedWord>）</modifiedWord>
      <trackRevisions>false</trackRevisions>
    </reviewItem>
    <reviewItem>
      <errorID>cbafe333-b63d-4afa-8585-eabd511ce0e6</errorID>
      <errorWord>(</errorWord>
      <group>L1_Format</group>
      <groupName>格式问题</groupName>
      <ability>L2_HalfPunc</ability>
      <abilityName>全半角检查</abilityName>
      <candidateList>
        <item>（</item>
      </candidateList>
      <explain>文本全半角错误。</explain>
      <paraID>5C762F7B</paraID>
      <start>4</start>
      <end>5</end>
      <status>modified</status>
      <modifiedWord>（</modifiedWord>
      <trackRevisions>false</trackRevisions>
    </reviewItem>
    <reviewItem>
      <errorID>92e60643-537d-499f-9d82-63d9841392f4</errorID>
      <errorWord>)</errorWord>
      <group>L1_Format</group>
      <groupName>格式问题</groupName>
      <ability>L2_HalfPunc</ability>
      <abilityName>全半角检查</abilityName>
      <candidateList>
        <item>）</item>
      </candidateList>
      <explain>文本全半角错误。</explain>
      <paraID>5C762F7B</paraID>
      <start>10</start>
      <end>11</end>
      <status>modified</status>
      <modifiedWord>）</modifiedWord>
      <trackRevisions>false</trackRevisions>
    </reviewItem>
    <reviewItem>
      <errorID>542ba05a-8a9a-4835-8c60-f1d51bc24cd3</errorID>
      <errorWord>(</errorWord>
      <group>L1_Format</group>
      <groupName>格式问题</groupName>
      <ability>L2_HalfPunc</ability>
      <abilityName>全半角检查</abilityName>
      <candidateList>
        <item>（</item>
      </candidateList>
      <explain>文本全半角错误。</explain>
      <paraID>457A4782</paraID>
      <start>3</start>
      <end>4</end>
      <status>modified</status>
      <modifiedWord>（</modifiedWord>
      <trackRevisions>false</trackRevisions>
    </reviewItem>
    <reviewItem>
      <errorID>16f794fe-7ba5-4b88-a463-c799440a3256</errorID>
      <errorWord>)</errorWord>
      <group>L1_Format</group>
      <groupName>格式问题</groupName>
      <ability>L2_HalfPunc</ability>
      <abilityName>全半角检查</abilityName>
      <candidateList>
        <item>）</item>
      </candidateList>
      <explain>文本全半角错误。</explain>
      <paraID>457A4782</paraID>
      <start>7</start>
      <end>8</end>
      <status>modified</status>
      <modifiedWord>）</modifiedWord>
      <trackRevisions>false</trackRevisions>
    </reviewItem>
    <reviewItem>
      <errorID>62b566c3-664f-429a-93db-ec6b39dba39a</errorID>
      <errorWord>、</errorWord>
      <group>L1_Punc</group>
      <groupName>标点问题</groupName>
      <ability>L2_Punc</ability>
      <abilityName>标点符号检查</abilityName>
      <candidateList/>
      <explain/>
      <paraID>41F039E8</paraID>
      <start>0</start>
      <end>1</end>
      <status>ignored</status>
      <modifiedWord/>
      <trackRevisions>false</trackRevisions>
    </reviewItem>
    <reviewItem>
      <errorID>a622a0a8-fc92-4028-b0e1-b32a0ca1e816</errorID>
      <errorWord>、</errorWord>
      <group>L1_Punc</group>
      <groupName>标点问题</groupName>
      <ability>L2_Punc</ability>
      <abilityName>标点符号检查</abilityName>
      <candidateList/>
      <explain/>
      <paraID>3C39B37A</paraID>
      <start>0</start>
      <end>1</end>
      <status>ignored</status>
      <modifiedWord/>
      <trackRevisions>false</trackRevisions>
    </reviewItem>
    <reviewItem>
      <errorID>93dc8d3c-cb9c-4744-8007-ad7bbd9ba69d</errorID>
      <errorWord>及时</errorWord>
      <group>L1_Punc</group>
      <groupName>标点问题</groupName>
      <ability>L2_Punc</ability>
      <abilityName>标点符号检查</abilityName>
      <candidateList>
        <item>，及时</item>
      </candidateList>
      <explain/>
      <paraID>5BE01B3B</paraID>
      <start>4</start>
      <end>6</end>
      <status>ignored</status>
      <modifiedWord/>
      <trackRevisions>false</trackRevisions>
    </reviewItem>
    <reviewItem>
      <errorID>d214606a-ccb7-44f9-a79e-916b7fbf1410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12FA67C4</paraID>
      <start>0</start>
      <end>2</end>
      <status>ignored</status>
      <modifiedWord/>
      <trackRevisions>false</trackRevisions>
    </reviewItem>
    <reviewItem>
      <errorID>345948be-a98f-4f72-bdef-7fd022c16883</errorID>
      <errorWord>（</errorWord>
      <group>L1_Punc</group>
      <groupName>标点问题</groupName>
      <ability>L2_Punc</ability>
      <abilityName>标点符号检查</abilityName>
      <candidateList>
        <item>》（</item>
      </candidateList>
      <explain/>
      <paraID>6C16B8F5</paraID>
      <start>115</start>
      <end>116</end>
      <status>ignored</status>
      <modifiedWord/>
      <trackRevisions>false</trackRevisions>
    </reviewItem>
    <reviewItem>
      <errorID>6238d706-c915-432d-90cd-4e7e8c6daf04</errorID>
      <errorWord>》</errorWord>
      <group>L1_Punc</group>
      <groupName>标点问题</groupName>
      <ability>L2_Punc</ability>
      <abilityName>标点符号检查</abilityName>
      <candidateList>
        <item/>
      </candidateList>
      <explain/>
      <paraID>6C16B8F5</paraID>
      <start>126</start>
      <end>127</end>
      <status>ignored</status>
      <modifiedWord/>
      <trackRevisions>false</trackRevisions>
    </reviewItem>
    <reviewItem>
      <errorID>9f541134-c3ca-446d-8832-e21cfe690a67</errorID>
      <errorWord>(</errorWord>
      <group>L1_Format</group>
      <groupName>格式问题</groupName>
      <ability>L2_HalfPunc</ability>
      <abilityName>全半角检查</abilityName>
      <candidateList>
        <item>（</item>
      </candidateList>
      <explain>文本全半角错误。</explain>
      <paraID>6C16B8F5</paraID>
      <start>188</start>
      <end>189</end>
      <status>modified</status>
      <modifiedWord>（</modifiedWord>
      <trackRevisions>false</trackRevisions>
    </reviewItem>
    <reviewItem>
      <errorID>d0d62fa8-c50c-468e-b756-ecf68f7ddefc</errorID>
      <errorWord>)</errorWord>
      <group>L1_Format</group>
      <groupName>格式问题</groupName>
      <ability>L2_HalfPunc</ability>
      <abilityName>全半角检查</abilityName>
      <candidateList>
        <item>）</item>
      </candidateList>
      <explain>文本全半角错误。</explain>
      <paraID>6C16B8F5</paraID>
      <start>200</start>
      <end>201</end>
      <status>modified</status>
      <modifiedWord>）</modifiedWord>
      <trackRevisions>false</trackRevisions>
    </reviewItem>
    <reviewItem>
      <errorID>f2ed5827-8157-4b66-b067-d29c2c6878c4</errorID>
      <errorWord>，</errorWord>
      <group>L1_Punc</group>
      <groupName>标点问题</groupName>
      <ability>L2_Punc</ability>
      <abilityName>标点符号检查</abilityName>
      <candidateList>
        <item>、</item>
      </candidateList>
      <explain/>
      <paraID>6C16B8F5</paraID>
      <start>206</start>
      <end>207</end>
      <status>ignored</status>
      <modifiedWord/>
      <trackRevisions>false</trackRevisions>
    </reviewItem>
    <reviewItem>
      <errorID>c207db91-3490-451a-a1f6-cf337314bda1</errorID>
      <errorWord>，</errorWord>
      <group>L1_Punc</group>
      <groupName>标点问题</groupName>
      <ability>L2_Punc</ability>
      <abilityName>标点符号检查</abilityName>
      <candidateList>
        <item>。</item>
      </candidateList>
      <explain/>
      <paraID>6C16B8F5</paraID>
      <start>221</start>
      <end>222</end>
      <status>modified</status>
      <modifiedWord>。</modifiedWord>
      <trackRevisions>false</trackRevisions>
    </reviewItem>
    <reviewItem>
      <errorID>ec591116-17cc-4690-a5e6-0ef78c666040</errorID>
      <errorWord>为</errorWord>
      <group>L1_Word</group>
      <groupName>字词问题</groupName>
      <ability>L2_Typo</ability>
      <abilityName>字词错误</abilityName>
      <candidateList>
        <item>属于</item>
      </candidateList>
      <explain/>
      <paraID>6C16B8F5</paraID>
      <start>249</start>
      <end>250</end>
      <status>ignored</status>
      <modifiedWord/>
      <trackRevisions>false</trackRevisions>
    </reviewItem>
    <reviewItem>
      <errorID>3f1ebccb-7489-48b8-a75c-b55588fae66f</errorID>
      <errorWord>配设</errorWord>
      <group>L1_Word</group>
      <groupName>字词问题</groupName>
      <ability>L2_Typo</ability>
      <abilityName>字词错误</abilityName>
      <candidateList>
        <item>配备</item>
      </candidateList>
      <explain/>
      <paraID> B6C8AC9</paraID>
      <start>6</start>
      <end>8</end>
      <status>modified</status>
      <modifiedWord>配备</modifiedWord>
      <trackRevisions>false</trackRevisions>
    </reviewItem>
    <reviewItem>
      <errorID>d41a798e-f925-4123-93f0-1c95af2a2c38</errorID>
      <errorWord>(</errorWord>
      <group>L1_Format</group>
      <groupName>格式问题</groupName>
      <ability>L2_HalfPunc</ability>
      <abilityName>全半角检查</abilityName>
      <candidateList>
        <item>（</item>
      </candidateList>
      <explain>文本全半角错误。</explain>
      <paraID> B6C8AC9</paraID>
      <start>113</start>
      <end>114</end>
      <status>modified</status>
      <modifiedWord>（</modifiedWord>
      <trackRevisions>false</trackRevisions>
    </reviewItem>
    <reviewItem>
      <errorID>0fefa4c7-c6d9-4831-bdc8-fca179ff1411</errorID>
      <errorWord>)</errorWord>
      <group>L1_Format</group>
      <groupName>格式问题</groupName>
      <ability>L2_HalfPunc</ability>
      <abilityName>全半角检查</abilityName>
      <candidateList>
        <item>）</item>
      </candidateList>
      <explain>文本全半角错误。</explain>
      <paraID> B6C8AC9</paraID>
      <start>125</start>
      <end>126</end>
      <status>modified</status>
      <modifiedWord>）</modifiedWord>
      <trackRevisions>false</trackRevisions>
    </reviewItem>
    <reviewItem>
      <errorID>e34ebf48-89d8-43e6-91fe-917f4a617258</errorID>
      <errorWord>(或排气筒)</errorWord>
      <group>L1_Punc</group>
      <groupName>标点问题</groupName>
      <ability>L2_Punc</ability>
      <abilityName>标点符号检查</abilityName>
      <candidateList>
        <item>（或排气筒）</item>
      </candidateList>
      <explain/>
      <paraID>626F0C0F</paraID>
      <start>53</start>
      <end>59</end>
      <status>modified</status>
      <modifiedWord>（或排气筒）</modifiedWord>
      <trackRevisions>false</trackRevisions>
    </reviewItem>
    <reviewItem>
      <errorID>4b701cc6-73c3-49ac-81cc-78769e880d6c</errorID>
      <errorWord>，</errorWord>
      <group>L1_Punc</group>
      <groupName>标点问题</groupName>
      <ability>L2_Punc</ability>
      <abilityName>标点符号检查</abilityName>
      <candidateList>
        <item>。</item>
      </candidateList>
      <explain/>
      <paraID>626F0C0F</paraID>
      <start>88</start>
      <end>89</end>
      <status>modified</status>
      <modifiedWord>。</modifiedWord>
      <trackRevisions>false</trackRevisions>
    </reviewItem>
    <reviewItem>
      <errorID>a5ebf728-e982-42c1-b28d-9d4c26e6d2f3</errorID>
      <errorWord>排</errorWord>
      <group>L1_Word</group>
      <groupName>字词问题</groupName>
      <ability>L2_Typo</ability>
      <abilityName>字词错误</abilityName>
      <candidateList>
        <item>排放</item>
      </candidateList>
      <explain/>
      <paraID>3C3A487F</paraID>
      <start>12</start>
      <end>14</end>
      <status>modified</status>
      <modifiedWord>排放</modifiedWord>
      <trackRevisions>false</trackRevisions>
    </reviewItem>
    <reviewItem>
      <errorID>f2d7794b-7739-4eff-b3ae-7acefb0e8828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32A5F82B</paraID>
      <start>0</start>
      <end>2</end>
      <status>ignored</status>
      <modifiedWord/>
      <trackRevisions>false</trackRevisions>
    </reviewItem>
    <reviewItem>
      <errorID>1267e6a9-9b41-4d34-a6bd-d4a49360016b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75D1746</paraID>
      <start>0</start>
      <end>2</end>
      <status>ignored</status>
      <modifiedWord/>
      <trackRevisions>false</trackRevisions>
    </reviewItem>
    <reviewItem>
      <errorID>2d175531-fbd4-443e-8da0-26e9b4a05533</errorID>
      <errorWord>减震</errorWord>
      <group>L1_Word</group>
      <groupName>字词问题</groupName>
      <ability>L2_Typo</ability>
      <abilityName>字词错误</abilityName>
      <candidateList>
        <item>减振</item>
      </candidateList>
      <explain>存在发音相同字词的误用。</explain>
      <paraID>350DB135</paraID>
      <start>2</start>
      <end>4</end>
      <status>modified</status>
      <modifiedWord>减振</modifiedWord>
      <trackRevisions>false</trackRevisions>
    </reviewItem>
    <reviewItem>
      <errorID>7dd196a9-f62a-4f91-b98f-e71aa6fd3f4f</errorID>
      <errorWord>）</errorWord>
      <group>L1_Punc</group>
      <groupName>标点问题</groupName>
      <ability>L2_Punc</ability>
      <abilityName>标点符号检查</abilityName>
      <candidateList>
        <item>)</item>
      </candidateList>
      <explain/>
      <paraID>2A4AB6DD</paraID>
      <start>21</start>
      <end>22</end>
      <status>ignored</status>
      <modifiedWord/>
      <trackRevisions>false</trackRevisions>
    </reviewItem>
    <reviewItem>
      <errorID>44c7264c-6ad1-4c7e-97cf-929f2af990d5</errorID>
      <errorWord>④</errorWord>
      <group>L1_Word</group>
      <groupName>字词问题</groupName>
      <ability>L2_Typo</ability>
      <abilityName>字词错误</abilityName>
      <candidateList>
        <item>⑤</item>
      </candidateList>
      <explain/>
      <paraID>22DFF10D</paraID>
      <start>0</start>
      <end>1</end>
      <status>ignored</status>
      <modifiedWord/>
      <trackRevisions>false</trackRevisions>
    </reviewItem>
    <reviewItem>
      <errorID>12f122ed-dfc3-4bca-ad0c-8dd52623acc8</errorID>
      <errorWord>）</errorWord>
      <group>L1_Format</group>
      <groupName>格式问题</groupName>
      <ability>L2_HalfPunc</ability>
      <abilityName>全半角检查</abilityName>
      <candidateList>
        <item>)</item>
      </candidateList>
      <explain>文本全半角错误。</explain>
      <paraID>22C111C2</paraID>
      <start>31</start>
      <end>32</end>
      <status>ignored</status>
      <modifiedWord/>
      <trackRevisions>false</trackRevisions>
    </reviewItem>
    <reviewItem>
      <errorID>1464637f-bb34-4266-930f-891131621522</errorID>
      <errorWord>）</errorWord>
      <group>L1_Format</group>
      <groupName>格式问题</groupName>
      <ability>L2_HalfPunc</ability>
      <abilityName>全半角检查</abilityName>
      <candidateList>
        <item>)</item>
      </candidateList>
      <explain>文本全半角错误。</explain>
      <paraID>  176EF1</paraID>
      <start>28</start>
      <end>29</end>
      <status>ignored</status>
      <modifiedWord/>
      <trackRevisions>false</trackRevisions>
    </reviewItem>
    <reviewItem>
      <errorID>0b6e8eaf-6209-463a-abfa-445fe984d575</errorID>
      <errorWord>）</errorWord>
      <group>L1_Format</group>
      <groupName>格式问题</groupName>
      <ability>L2_HalfPunc</ability>
      <abilityName>全半角检查</abilityName>
      <candidateList>
        <item>)</item>
      </candidateList>
      <explain>文本全半角错误。</explain>
      <paraID>650E762E</paraID>
      <start>31</start>
      <end>32</end>
      <status>ignored</status>
      <modifiedWord/>
      <trackRevisions>false</trackRevisions>
    </reviewItem>
    <reviewItem>
      <errorID>5aecb860-5f86-46c1-b25c-711cbbdd7cd0</errorID>
      <errorWord>）</errorWord>
      <group>L1_Format</group>
      <groupName>格式问题</groupName>
      <ability>L2_HalfPunc</ability>
      <abilityName>全半角检查</abilityName>
      <candidateList>
        <item>)</item>
      </candidateList>
      <explain>文本全半角错误。</explain>
      <paraID>47378FB9</paraID>
      <start>17</start>
      <end>18</end>
      <status>ignored</status>
      <modifiedWord/>
      <trackRevisions>false</trackRevisions>
    </reviewItem>
    <reviewItem>
      <errorID>7fa266cb-50df-47e7-abd0-72e612b5e404</errorID>
      <errorWord>⑤</errorWord>
      <group>L1_Word</group>
      <groupName>字词问题</groupName>
      <ability>L2_Typo</ability>
      <abilityName>字词错误</abilityName>
      <candidateList>
        <item>⑦</item>
      </candidateList>
      <explain/>
      <paraID> B16BF9F</paraID>
      <start>0</start>
      <end>1</end>
      <status>ignored</status>
      <modifiedWord/>
      <trackRevisions>false</trackRevisions>
    </reviewItem>
    <reviewItem>
      <errorID>e596d35b-0d23-4f75-b414-82cf8431935e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A49AA80</paraID>
      <start>0</start>
      <end>2</end>
      <status>ignored</status>
      <modifiedWord/>
      <trackRevisions>false</trackRevisions>
    </reviewItem>
    <reviewItem>
      <errorID>cac55e2a-386d-43a9-b622-61ed5db7f1d0</errorID>
      <errorWord>固体废弃物</errorWord>
      <group>L1_Word</group>
      <groupName>字词问题</groupName>
      <ability>L2_Typo</ability>
      <abilityName>字词错误</abilityName>
      <candidateList>
        <item>固体废物</item>
      </candidateList>
      <explain/>
      <paraID>64C8A2B7</paraID>
      <start>9</start>
      <end>13</end>
      <status>modified</status>
      <modifiedWord>固体废物</modifiedWord>
      <trackRevisions>false</trackRevisions>
    </reviewItem>
    <reviewItem>
      <errorID>50cd8d01-c2bd-4340-b671-dd87df3913be</errorID>
      <errorWord>2t/a</errorWord>
      <group>L1_Grammar</group>
      <groupName>语法问题</groupName>
      <ability>L2_Grammar</ability>
      <abilityName>语法错误</abilityName>
      <candidateList>
        <item>2t</item>
      </candidateList>
      <explain/>
      <paraID>6EEBC8DC</paraID>
      <start>24</start>
      <end>28</end>
      <status>ignored</status>
      <modifiedWord/>
      <trackRevisions>false</trackRevisions>
    </reviewItem>
    <reviewItem>
      <errorID>efea4f4c-71c0-4858-b827-a7a25483532d</errorID>
      <errorWord>代码</errorWord>
      <group>L1_Grammar</group>
      <groupName>语法问题</groupName>
      <ability>L2_Grammar</ability>
      <abilityName>语法错误</abilityName>
      <candidateList>
        <item>类别代码</item>
      </candidateList>
      <explain/>
      <paraID>6EEBC8DC</paraID>
      <start>46</start>
      <end>48</end>
      <status>ignored</status>
      <modifiedWord/>
      <trackRevisions>false</trackRevisions>
    </reviewItem>
    <reviewItem>
      <errorID>f0535372-a720-412c-aed0-ffccf97a9c76</errorID>
      <errorWord>S80</errorWord>
      <group>L1_Punc</group>
      <groupName>标点问题</groupName>
      <ability>L2_Punc</ability>
      <abilityName>标点符号检查</abilityName>
      <candidateList>
        <item>S80。</item>
      </candidateList>
      <explain/>
      <paraID>6EEBC8DC</paraID>
      <start>57</start>
      <end>61</end>
      <status>modified</status>
      <modifiedWord>S80。</modifiedWord>
      <trackRevisions>false</trackRevisions>
    </reviewItem>
    <reviewItem>
      <errorID>29b9a1cb-5b31-4889-b9db-3d9e779f0f71</errorID>
      <errorWord>；</errorWord>
      <group>L1_Punc</group>
      <groupName>标点问题</groupName>
      <ability>L2_Punc</ability>
      <abilityName>标点符号检查</abilityName>
      <candidateList>
        <item>。</item>
      </candidateList>
      <explain/>
      <paraID>10B6DD4B</paraID>
      <start>20</start>
      <end>21</end>
      <status>modified</status>
      <modifiedWord>。</modifiedWord>
      <trackRevisions>false</trackRevisions>
    </reviewItem>
    <reviewItem>
      <errorID>72284b48-2ada-4101-83a1-d90d7bcf174c</errorID>
      <errorWord>%</errorWord>
      <group>L1_Punc</group>
      <groupName>标点问题</groupName>
      <ability>L2_Punc</ability>
      <abilityName>标点符号检查</abilityName>
      <candidateList>
        <item>%。</item>
      </candidateList>
      <explain/>
      <paraID>10CE7466</paraID>
      <start>20</start>
      <end>21</end>
      <status>ignored</status>
      <modifiedWord/>
      <trackRevisions>false</trackRevisions>
    </reviewItem>
    <reviewItem>
      <errorID>38ff65f1-4e97-4781-8fc5-e3ed4ceee6af</errorID>
      <errorWord>kg</errorWord>
      <group>L1_Punc</group>
      <groupName>标点问题</groupName>
      <ability>L2_Punc</ability>
      <abilityName>标点符号检查</abilityName>
      <candidateList>
        <item>kg。</item>
      </candidateList>
      <explain/>
      <paraID>4F5F39C9</paraID>
      <start>27</start>
      <end>30</end>
      <status>modified</status>
      <modifiedWord>kg。</modifiedWord>
      <trackRevisions>false</trackRevisions>
    </reviewItem>
    <reviewItem>
      <errorID>83aec98a-a069-43dd-8950-1bcaf8f437fd</errorID>
      <errorWord>%</errorWord>
      <group>L1_Punc</group>
      <groupName>标点问题</groupName>
      <ability>L2_Punc</ability>
      <abilityName>标点符号检查</abilityName>
      <candidateList>
        <item>%。</item>
      </candidateList>
      <explain/>
      <paraID> 56CBF80</paraID>
      <start>18</start>
      <end>19</end>
      <status>ignored</status>
      <modifiedWord/>
      <trackRevisions>false</trackRevisions>
    </reviewItem>
    <reviewItem>
      <errorID>ec7322f2-3b5b-4be0-bd07-4af84a724a5b</errorID>
      <errorWord>S64</errorWord>
      <group>L1_Punc</group>
      <groupName>标点问题</groupName>
      <ability>L2_Punc</ability>
      <abilityName>标点符号检查</abilityName>
      <candidateList>
        <item>S64。</item>
      </candidateList>
      <explain/>
      <paraID>5B10A571</paraID>
      <start>77</start>
      <end>81</end>
      <status>modified</status>
      <modifiedWord>S64。</modifiedWord>
      <trackRevisions>false</trackRevisions>
    </reviewItem>
    <reviewItem>
      <errorID>e6b64c5a-1f1b-4427-969d-fb7934bd01ad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4C74991A</paraID>
      <start>21</start>
      <end>22</end>
      <status>modified</status>
      <modifiedWord>地</modifiedWord>
      <trackRevisions>false</trackRevisions>
    </reviewItem>
    <reviewItem>
      <errorID>3999de0a-e5e3-423b-866c-c0a70ec9e46c</errorID>
      <errorWord>(</errorWord>
      <group>L1_Format</group>
      <groupName>格式问题</groupName>
      <ability>L2_HalfPunc</ability>
      <abilityName>全半角检查</abilityName>
      <candidateList>
        <item>（</item>
      </candidateList>
      <explain>文本全半角错误。</explain>
      <paraID>1615FDDA</paraID>
      <start>3</start>
      <end>4</end>
      <status>modified</status>
      <modifiedWord>（</modifiedWord>
      <trackRevisions>false</trackRevisions>
    </reviewItem>
    <reviewItem>
      <errorID>8e89f2c5-c5b3-4b91-9817-cd5b66e379f2</errorID>
      <errorWord>)</errorWord>
      <group>L1_Format</group>
      <groupName>格式问题</groupName>
      <ability>L2_HalfPunc</ability>
      <abilityName>全半角检查</abilityName>
      <candidateList>
        <item>）</item>
      </candidateList>
      <explain>文本全半角错误。</explain>
      <paraID> 41C0184</paraID>
      <start>2</start>
      <end>3</end>
      <status>modified</status>
      <modifiedWord>）</modifiedWord>
      <trackRevisions>false</trackRevisions>
    </reviewItem>
    <reviewItem>
      <errorID>af029fbb-7d28-4bfb-9ac2-3598a8ecd8c4</errorID>
      <errorWord>除以</errorWord>
      <group>L1_Word</group>
      <groupName>字词问题</groupName>
      <ability>L2_Typo</ability>
      <abilityName>字词错误</abilityName>
      <candidateList>
        <item>以及以</item>
      </candidateList>
      <explain/>
      <paraID>2B109951</paraID>
      <start>57</start>
      <end>59</end>
      <status>ignored</status>
      <modifiedWord/>
      <trackRevisions>false</trackRevisions>
    </reviewItem>
    <reviewItem>
      <errorID>972aa215-8663-4749-85fe-e58fb276e932</errorID>
      <errorWord>，</errorWord>
      <group>L1_Punc</group>
      <groupName>标点问题</groupName>
      <ability>L2_Punc</ability>
      <abilityName>标点符号检查</abilityName>
      <candidateList>
        <item>、</item>
      </candidateList>
      <explain/>
      <paraID>2B109951</paraID>
      <start>72</start>
      <end>73</end>
      <status>ignored</status>
      <modifiedWord/>
      <trackRevisions>false</trackRevisions>
    </reviewItem>
    <reviewItem>
      <errorID>02a656b5-ba4a-4c95-a30d-8ea64debcfda</errorID>
      <errorWord>，</errorWord>
      <group>L1_Punc</group>
      <groupName>标点问题</groupName>
      <ability>L2_Punc</ability>
      <abilityName>标点符号检查</abilityName>
      <candidateList>
        <item>、</item>
      </candidateList>
      <explain/>
      <paraID>2B109951</paraID>
      <start>77</start>
      <end>78</end>
      <status>ignored</status>
      <modifiedWord/>
      <trackRevisions>false</trackRevisions>
    </reviewItem>
    <reviewItem>
      <errorID>e5638015-adec-4967-8b9b-0ab1e8177859</errorID>
      <errorWord>报告表</errorWord>
      <group>L1_Word</group>
      <groupName>字词问题</groupName>
      <ability>L2_Typo</ability>
      <abilityName>字词错误</abilityName>
      <candidateList>
        <item>报告</item>
      </candidateList>
      <explain>❶〈动〉把事情或意见正式告诉上级或群众：你应当把事情的经过向领导～｜大会主席～了开会宗旨。❷〈名〉用口头或书面的形式向上级或群众所做的正式陈述：总结～｜动员～。</explain>
      <paraID>7016F8E7</paraID>
      <start>49</start>
      <end>52</end>
      <status>ignored</status>
      <modifiedWord/>
      <trackRevisions>false</trackRevisions>
    </reviewItem>
    <reviewItem>
      <errorID>4e7ffafa-fc01-42a5-a5fb-ade6e6ca3d26</errorID>
      <errorWord>:</errorWord>
      <group>L1_Format</group>
      <groupName>格式问题</groupName>
      <ability>L2_HalfPunc</ability>
      <abilityName>全半角检查</abilityName>
      <candidateList>
        <item>：</item>
      </candidateList>
      <explain>文本全半角错误。</explain>
      <paraID>56E99583</paraID>
      <start>2</start>
      <end>3</end>
      <status>ignored</status>
      <modifiedWord/>
      <trackRevisions>false</trackRevisions>
    </reviewItem>
    <reviewItem>
      <errorID>ef6ea8e3-5927-42ea-9015-ee0a84d71ac8</errorID>
      <errorWord>年</errorWord>
      <group>L1_Punc</group>
      <groupName>标点问题</groupName>
      <ability>L2_Punc</ability>
      <abilityName>标点符号检查</abilityName>
      <candidateList>
        <item>，年</item>
      </candidateList>
      <explain/>
      <paraID>24E2ACDE</paraID>
      <start>37</start>
      <end>38</end>
      <status>ignored</status>
      <modifiedWord/>
      <trackRevisions>false</trackRevisions>
    </reviewItem>
    <reviewItem>
      <errorID>bc562f76-99a9-4e65-957c-bd5893af6f74</errorID>
      <errorWord>;</errorWord>
      <group>L1_Format</group>
      <groupName>格式问题</groupName>
      <ability>L2_HalfPunc</ability>
      <abilityName>全半角检查</abilityName>
      <candidateList>
        <item>；</item>
      </candidateList>
      <explain>文本全半角错误。</explain>
      <paraID>46948EBE</paraID>
      <start>15</start>
      <end>16</end>
      <status>modified</status>
      <modifiedWord>；</modifiedWord>
      <trackRevisions>false</trackRevisions>
    </reviewItem>
    <reviewItem>
      <errorID>e0a421a5-44d5-4692-bf1c-454b15df0736</errorID>
      <errorWord>(</errorWord>
      <group>L1_Format</group>
      <groupName>格式问题</groupName>
      <ability>L2_HalfPunc</ability>
      <abilityName>全半角检查</abilityName>
      <candidateList>
        <item>（</item>
      </candidateList>
      <explain>文本全半角错误。</explain>
      <paraID>3FB1EE07</paraID>
      <start>13</start>
      <end>14</end>
      <status>modified</status>
      <modifiedWord>（</modifiedWord>
      <trackRevisions>false</trackRevisions>
    </reviewItem>
    <reviewItem>
      <errorID>36a3578b-cf06-478e-b07d-62968ece88a8</errorID>
      <errorWord>)</errorWord>
      <group>L1_Format</group>
      <groupName>格式问题</groupName>
      <ability>L2_HalfPunc</ability>
      <abilityName>全半角检查</abilityName>
      <candidateList>
        <item>）</item>
      </candidateList>
      <explain>文本全半角错误。</explain>
      <paraID>3FB1EE07</paraID>
      <start>16</start>
      <end>17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f9efc8-5502-42ed-934a-f1418ef18540}">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65</Pages>
  <Words>11376</Words>
  <Characters>12264</Characters>
  <Lines>13</Lines>
  <Paragraphs>3</Paragraphs>
  <TotalTime>2</TotalTime>
  <ScaleCrop>false</ScaleCrop>
  <LinksUpToDate>false</LinksUpToDate>
  <CharactersWithSpaces>12345</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 洋洋鱼 </cp:lastModifiedBy>
  <cp:lastPrinted>2020-12-29T02:43:00Z</cp:lastPrinted>
  <dcterms:modified xsi:type="dcterms:W3CDTF">2026-07-24T07:54:09Z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89F3B985284A4025B8E04A32DB18766D_13</vt:lpwstr>
  </property>
  <property fmtid="{D5CDD505-2E9C-101B-9397-08002B2CF9AE}" pid="4" name="KSOTemplateDocerSaveRecord">
    <vt:lpwstr>eyJoZGlkIjoiMWMxYjE0ODY0YzUzMzU2N2EyOTFkYjA4ZWVlNmY4NDEiLCJ1c2VySWQiOiI2NTgwMzMwNjkifQ==</vt:lpwstr>
  </property>
</Properties>
</file>